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EC" w:rsidRPr="006E58EC" w:rsidRDefault="006E58EC" w:rsidP="006E58EC">
      <w:pPr>
        <w:spacing w:after="120" w:line="240" w:lineRule="auto"/>
        <w:jc w:val="center"/>
        <w:rPr>
          <w:rFonts w:asciiTheme="minorHAnsi" w:eastAsia="Times New Roman" w:hAnsiTheme="minorHAnsi" w:cstheme="minorHAnsi"/>
          <w:bCs/>
          <w:iCs/>
          <w:color w:val="CC114F"/>
          <w:sz w:val="36"/>
          <w:szCs w:val="28"/>
        </w:rPr>
      </w:pPr>
      <w:r w:rsidRPr="006E58EC">
        <w:rPr>
          <w:rFonts w:asciiTheme="minorHAnsi" w:eastAsia="Times New Roman" w:hAnsiTheme="minorHAnsi" w:cstheme="minorHAnsi"/>
          <w:bCs/>
          <w:iCs/>
          <w:color w:val="CC114F"/>
          <w:sz w:val="36"/>
          <w:szCs w:val="28"/>
        </w:rPr>
        <w:t>ИЗИСКВАНИЯ КЪМ ОФЕРТИТЕ</w:t>
      </w:r>
    </w:p>
    <w:p w:rsidR="006E58EC" w:rsidRPr="006E58EC" w:rsidRDefault="006E58EC" w:rsidP="006E58EC">
      <w:pPr>
        <w:pStyle w:val="ListParagraph"/>
        <w:spacing w:before="120" w:after="0" w:line="240" w:lineRule="auto"/>
        <w:jc w:val="both"/>
        <w:rPr>
          <w:rFonts w:asciiTheme="minorHAnsi" w:hAnsiTheme="minorHAnsi" w:cstheme="minorHAnsi"/>
          <w:b/>
          <w:sz w:val="24"/>
          <w:szCs w:val="24"/>
          <w:lang w:val="bg-BG"/>
        </w:rPr>
      </w:pPr>
    </w:p>
    <w:p w:rsidR="006E58EC" w:rsidRPr="006E58EC" w:rsidRDefault="006E58EC" w:rsidP="006E58EC">
      <w:pPr>
        <w:pStyle w:val="ListParagraph"/>
        <w:numPr>
          <w:ilvl w:val="0"/>
          <w:numId w:val="8"/>
        </w:numPr>
        <w:spacing w:before="120" w:after="0" w:line="240" w:lineRule="auto"/>
        <w:jc w:val="both"/>
        <w:rPr>
          <w:rFonts w:asciiTheme="minorHAnsi" w:hAnsiTheme="minorHAnsi" w:cstheme="minorHAnsi"/>
          <w:b/>
          <w:bCs/>
          <w:sz w:val="24"/>
          <w:szCs w:val="24"/>
          <w:lang w:val="bg-BG"/>
        </w:rPr>
      </w:pPr>
      <w:r w:rsidRPr="006E58EC">
        <w:rPr>
          <w:rFonts w:asciiTheme="minorHAnsi" w:hAnsiTheme="minorHAnsi" w:cstheme="minorHAnsi"/>
          <w:sz w:val="24"/>
          <w:szCs w:val="24"/>
          <w:lang w:val="bg-BG"/>
        </w:rPr>
        <w:t xml:space="preserve">Крайният срок за подаване на оферти и по двете обособени позиции </w:t>
      </w:r>
      <w:r w:rsidRPr="006E58EC">
        <w:rPr>
          <w:rFonts w:asciiTheme="minorHAnsi" w:hAnsiTheme="minorHAnsi" w:cstheme="minorHAnsi"/>
          <w:b/>
          <w:bCs/>
          <w:sz w:val="24"/>
          <w:szCs w:val="24"/>
          <w:lang w:val="bg-BG"/>
        </w:rPr>
        <w:t xml:space="preserve">е 17:00 часа на </w:t>
      </w:r>
      <w:r>
        <w:rPr>
          <w:rFonts w:asciiTheme="minorHAnsi" w:hAnsiTheme="minorHAnsi" w:cstheme="minorHAnsi"/>
          <w:b/>
          <w:bCs/>
          <w:sz w:val="24"/>
          <w:szCs w:val="24"/>
        </w:rPr>
        <w:t>25</w:t>
      </w:r>
      <w:r w:rsidRPr="006E58EC">
        <w:rPr>
          <w:rFonts w:asciiTheme="minorHAnsi" w:hAnsiTheme="minorHAnsi" w:cstheme="minorHAnsi"/>
          <w:b/>
          <w:bCs/>
          <w:sz w:val="24"/>
          <w:szCs w:val="24"/>
          <w:lang w:val="bg-BG"/>
        </w:rPr>
        <w:t>.0</w:t>
      </w:r>
      <w:r>
        <w:rPr>
          <w:rFonts w:asciiTheme="minorHAnsi" w:hAnsiTheme="minorHAnsi" w:cstheme="minorHAnsi"/>
          <w:b/>
          <w:bCs/>
          <w:sz w:val="24"/>
          <w:szCs w:val="24"/>
        </w:rPr>
        <w:t>2</w:t>
      </w:r>
      <w:r w:rsidRPr="006E58EC">
        <w:rPr>
          <w:rFonts w:asciiTheme="minorHAnsi" w:hAnsiTheme="minorHAnsi" w:cstheme="minorHAnsi"/>
          <w:b/>
          <w:bCs/>
          <w:sz w:val="24"/>
          <w:szCs w:val="24"/>
          <w:lang w:val="bg-BG"/>
        </w:rPr>
        <w:t>.201</w:t>
      </w:r>
      <w:r>
        <w:rPr>
          <w:rFonts w:asciiTheme="minorHAnsi" w:hAnsiTheme="minorHAnsi" w:cstheme="minorHAnsi"/>
          <w:b/>
          <w:bCs/>
          <w:sz w:val="24"/>
          <w:szCs w:val="24"/>
        </w:rPr>
        <w:t>7</w:t>
      </w:r>
      <w:r w:rsidRPr="006E58EC">
        <w:rPr>
          <w:rFonts w:asciiTheme="minorHAnsi" w:hAnsiTheme="minorHAnsi" w:cstheme="minorHAnsi"/>
          <w:b/>
          <w:bCs/>
          <w:sz w:val="24"/>
          <w:szCs w:val="24"/>
          <w:lang w:val="bg-BG"/>
        </w:rPr>
        <w:t xml:space="preserve"> г. </w:t>
      </w:r>
    </w:p>
    <w:p w:rsidR="006E58EC" w:rsidRPr="006E58EC" w:rsidRDefault="006E58EC" w:rsidP="006E58EC">
      <w:pPr>
        <w:numPr>
          <w:ilvl w:val="0"/>
          <w:numId w:val="8"/>
        </w:numPr>
        <w:spacing w:before="120" w:after="0" w:line="240" w:lineRule="auto"/>
        <w:jc w:val="both"/>
        <w:rPr>
          <w:rFonts w:asciiTheme="minorHAnsi" w:hAnsiTheme="minorHAnsi" w:cstheme="minorHAnsi"/>
          <w:b/>
          <w:bCs/>
          <w:sz w:val="24"/>
          <w:szCs w:val="24"/>
          <w:lang w:val="ru-RU"/>
        </w:rPr>
      </w:pPr>
      <w:r w:rsidRPr="006E58EC">
        <w:rPr>
          <w:rFonts w:asciiTheme="minorHAnsi" w:hAnsiTheme="minorHAnsi" w:cstheme="minorHAnsi"/>
          <w:sz w:val="24"/>
          <w:szCs w:val="24"/>
          <w:lang w:val="ru-RU"/>
        </w:rPr>
        <w:t>Офертата и всички приложения към нея се представя</w:t>
      </w:r>
      <w:r>
        <w:rPr>
          <w:rFonts w:asciiTheme="minorHAnsi" w:hAnsiTheme="minorHAnsi" w:cstheme="minorHAnsi"/>
          <w:sz w:val="24"/>
          <w:szCs w:val="24"/>
          <w:lang w:val="bg-BG"/>
        </w:rPr>
        <w:t>т</w:t>
      </w:r>
      <w:r w:rsidRPr="006E58EC">
        <w:rPr>
          <w:rFonts w:asciiTheme="minorHAnsi" w:hAnsiTheme="minorHAnsi" w:cstheme="minorHAnsi"/>
          <w:sz w:val="24"/>
          <w:szCs w:val="24"/>
          <w:lang w:val="ru-RU"/>
        </w:rPr>
        <w:t xml:space="preserve"> </w:t>
      </w:r>
      <w:r w:rsidRPr="006E58EC">
        <w:rPr>
          <w:rFonts w:asciiTheme="minorHAnsi" w:hAnsiTheme="minorHAnsi" w:cstheme="minorHAnsi"/>
          <w:b/>
          <w:bCs/>
          <w:sz w:val="24"/>
          <w:szCs w:val="24"/>
          <w:lang w:val="ru-RU"/>
        </w:rPr>
        <w:t xml:space="preserve">в писмен вид, на хартиен носител в оригинал и едно копие. </w:t>
      </w:r>
    </w:p>
    <w:p w:rsidR="006E58EC" w:rsidRPr="006E58EC" w:rsidRDefault="006E58EC" w:rsidP="006E58EC">
      <w:pPr>
        <w:numPr>
          <w:ilvl w:val="0"/>
          <w:numId w:val="8"/>
        </w:numPr>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Кандидатът в процедурата има право да представи само една оферта.</w:t>
      </w:r>
    </w:p>
    <w:p w:rsidR="006E58EC" w:rsidRPr="006E58EC" w:rsidRDefault="006E58EC" w:rsidP="006E58EC">
      <w:pPr>
        <w:numPr>
          <w:ilvl w:val="0"/>
          <w:numId w:val="8"/>
        </w:numPr>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Офертата следва да е изготвена съобразно образеца от документацията и да съдържа техническо и финансово предложение. Към офертата следва да са приложени всички изискуеми от бенефициента документи, посочени в поканата.</w:t>
      </w:r>
    </w:p>
    <w:p w:rsidR="006E58EC" w:rsidRPr="006E58EC" w:rsidRDefault="006E58EC" w:rsidP="006E58EC">
      <w:pPr>
        <w:numPr>
          <w:ilvl w:val="0"/>
          <w:numId w:val="8"/>
        </w:numPr>
        <w:tabs>
          <w:tab w:val="left" w:pos="426"/>
        </w:tabs>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Всички декларации трябва да са по приложените образци (в оригинал).</w:t>
      </w:r>
    </w:p>
    <w:p w:rsidR="006E58EC" w:rsidRPr="006E58EC" w:rsidRDefault="006E58EC" w:rsidP="006E58EC">
      <w:pPr>
        <w:numPr>
          <w:ilvl w:val="0"/>
          <w:numId w:val="8"/>
        </w:numPr>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Изискуемите документи към офертата следва да бъдат представени в заверени от кандидата копия с думите: „Вярно с оригинала”, подпис и печат.</w:t>
      </w:r>
    </w:p>
    <w:p w:rsidR="006E58EC" w:rsidRPr="006E58EC" w:rsidRDefault="006E58EC" w:rsidP="006E58EC">
      <w:pPr>
        <w:numPr>
          <w:ilvl w:val="0"/>
          <w:numId w:val="8"/>
        </w:numPr>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Документите в офертата се подписват само от лица с представителни функции, съгласно удостоверението за актуално състояние (или Търговския регистър на Агенцията по вписванията). В случай, че са подписани от упълномощено лице, се изисква прилагане на нотариално заверено пълномощно от лицата с представителни функции;</w:t>
      </w:r>
    </w:p>
    <w:p w:rsidR="006E58EC" w:rsidRPr="006E58EC" w:rsidRDefault="006E58EC" w:rsidP="006E58EC">
      <w:pPr>
        <w:numPr>
          <w:ilvl w:val="0"/>
          <w:numId w:val="8"/>
        </w:numPr>
        <w:spacing w:before="120" w:after="120" w:line="240" w:lineRule="auto"/>
        <w:jc w:val="both"/>
        <w:rPr>
          <w:rFonts w:asciiTheme="minorHAnsi" w:hAnsiTheme="minorHAnsi" w:cstheme="minorHAnsi"/>
          <w:bCs/>
          <w:sz w:val="24"/>
          <w:szCs w:val="24"/>
          <w:lang w:val="ru-RU"/>
        </w:rPr>
      </w:pPr>
      <w:r w:rsidRPr="006E58EC">
        <w:rPr>
          <w:rFonts w:asciiTheme="minorHAnsi" w:hAnsiTheme="minorHAnsi" w:cstheme="minorHAnsi"/>
          <w:bCs/>
          <w:sz w:val="24"/>
          <w:szCs w:val="24"/>
          <w:lang w:val="ru-RU"/>
        </w:rPr>
        <w:t>Всички официални документи трябва да са издадени не по-рано от 3 (три) месеца преди датата на представяне на офертата за участие в процедурата.</w:t>
      </w:r>
    </w:p>
    <w:p w:rsidR="006E58EC" w:rsidRPr="006E58EC" w:rsidRDefault="006E58EC" w:rsidP="006E58EC">
      <w:pPr>
        <w:numPr>
          <w:ilvl w:val="0"/>
          <w:numId w:val="8"/>
        </w:numPr>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Всички преводи на документи следва да са придружени от съответните документи на оригиналния език. В случай на несъответствие между българския и текста на чужд език, текстът на български език се ползва с приоритет.</w:t>
      </w:r>
    </w:p>
    <w:p w:rsidR="006E58EC" w:rsidRPr="006E58EC" w:rsidRDefault="006E58EC" w:rsidP="006E58EC">
      <w:pPr>
        <w:numPr>
          <w:ilvl w:val="0"/>
          <w:numId w:val="8"/>
        </w:numPr>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По офертата не се допускат вписвания между редовете, изтривания или корекции.</w:t>
      </w:r>
    </w:p>
    <w:p w:rsidR="006E58EC" w:rsidRPr="006E58EC" w:rsidRDefault="00A30702" w:rsidP="006E58EC">
      <w:pPr>
        <w:pStyle w:val="firstline"/>
        <w:numPr>
          <w:ilvl w:val="0"/>
          <w:numId w:val="8"/>
        </w:numPr>
        <w:spacing w:before="120" w:line="240" w:lineRule="auto"/>
        <w:rPr>
          <w:rFonts w:asciiTheme="minorHAnsi" w:hAnsiTheme="minorHAnsi" w:cstheme="minorHAnsi"/>
        </w:rPr>
      </w:pPr>
      <w:r>
        <w:rPr>
          <w:rFonts w:asciiTheme="minorHAnsi" w:hAnsiTheme="minorHAnsi" w:cstheme="minorHAnsi"/>
        </w:rPr>
        <w:t>Не се допускат подизпълнители</w:t>
      </w:r>
      <w:r w:rsidR="006E58EC" w:rsidRPr="006E58EC">
        <w:rPr>
          <w:rFonts w:asciiTheme="minorHAnsi" w:hAnsiTheme="minorHAnsi" w:cstheme="minorHAnsi"/>
        </w:rPr>
        <w:t>.</w:t>
      </w:r>
    </w:p>
    <w:p w:rsidR="006E58EC" w:rsidRPr="006E58EC" w:rsidRDefault="006E58EC" w:rsidP="006E58EC">
      <w:pPr>
        <w:pStyle w:val="ListParagraph"/>
        <w:numPr>
          <w:ilvl w:val="0"/>
          <w:numId w:val="8"/>
        </w:numPr>
        <w:spacing w:before="120" w:after="12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Цената, посочена в офертата на кандидатите, включва всички разходи без ДДС.</w:t>
      </w:r>
    </w:p>
    <w:p w:rsidR="006E58EC" w:rsidRPr="006E58EC" w:rsidRDefault="006E58EC" w:rsidP="006E58EC">
      <w:pPr>
        <w:pStyle w:val="ListParagraph"/>
        <w:numPr>
          <w:ilvl w:val="0"/>
          <w:numId w:val="8"/>
        </w:numPr>
        <w:spacing w:before="120" w:after="12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 xml:space="preserve">Оферти </w:t>
      </w:r>
      <w:r w:rsidR="006E7AFD">
        <w:rPr>
          <w:rFonts w:asciiTheme="minorHAnsi" w:hAnsiTheme="minorHAnsi" w:cstheme="minorHAnsi"/>
          <w:sz w:val="24"/>
          <w:szCs w:val="24"/>
          <w:lang w:val="bg-BG"/>
        </w:rPr>
        <w:t xml:space="preserve">на стойност над </w:t>
      </w:r>
      <w:bookmarkStart w:id="0" w:name="_GoBack"/>
      <w:r w:rsidR="006E7AFD" w:rsidRPr="006E7AFD">
        <w:rPr>
          <w:rFonts w:asciiTheme="minorHAnsi" w:hAnsiTheme="minorHAnsi" w:cstheme="minorHAnsi"/>
          <w:bCs/>
          <w:sz w:val="24"/>
          <w:szCs w:val="24"/>
        </w:rPr>
        <w:t xml:space="preserve">6550 </w:t>
      </w:r>
      <w:proofErr w:type="spellStart"/>
      <w:r w:rsidR="006E7AFD" w:rsidRPr="006E7AFD">
        <w:rPr>
          <w:rFonts w:asciiTheme="minorHAnsi" w:hAnsiTheme="minorHAnsi" w:cstheme="minorHAnsi"/>
          <w:bCs/>
          <w:sz w:val="24"/>
          <w:szCs w:val="24"/>
        </w:rPr>
        <w:t>лева</w:t>
      </w:r>
      <w:proofErr w:type="spellEnd"/>
      <w:r w:rsidR="006E7AFD" w:rsidRPr="006E7AFD">
        <w:rPr>
          <w:rFonts w:asciiTheme="minorHAnsi" w:hAnsiTheme="minorHAnsi" w:cstheme="minorHAnsi"/>
          <w:sz w:val="24"/>
          <w:szCs w:val="24"/>
          <w:lang w:val="bg-BG"/>
        </w:rPr>
        <w:t xml:space="preserve"> </w:t>
      </w:r>
      <w:bookmarkEnd w:id="0"/>
      <w:r w:rsidR="006E7AFD">
        <w:rPr>
          <w:rFonts w:asciiTheme="minorHAnsi" w:hAnsiTheme="minorHAnsi" w:cstheme="minorHAnsi"/>
          <w:sz w:val="24"/>
          <w:szCs w:val="24"/>
          <w:lang w:val="bg-BG"/>
        </w:rPr>
        <w:t>без ДДС</w:t>
      </w:r>
      <w:r w:rsidRPr="006E58EC">
        <w:rPr>
          <w:rFonts w:asciiTheme="minorHAnsi" w:hAnsiTheme="minorHAnsi" w:cstheme="minorHAnsi"/>
          <w:sz w:val="24"/>
          <w:szCs w:val="24"/>
          <w:lang w:val="bg-BG"/>
        </w:rPr>
        <w:t xml:space="preserve"> ще се отхвърлят.</w:t>
      </w:r>
    </w:p>
    <w:p w:rsidR="006E58EC" w:rsidRPr="006E58EC" w:rsidRDefault="006E58EC" w:rsidP="006E58EC">
      <w:pPr>
        <w:pStyle w:val="firstline"/>
        <w:numPr>
          <w:ilvl w:val="0"/>
          <w:numId w:val="8"/>
        </w:numPr>
        <w:spacing w:before="120" w:line="240" w:lineRule="auto"/>
        <w:rPr>
          <w:rFonts w:asciiTheme="minorHAnsi" w:hAnsiTheme="minorHAnsi" w:cstheme="minorHAnsi"/>
        </w:rPr>
      </w:pPr>
      <w:r w:rsidRPr="006E58EC">
        <w:rPr>
          <w:rFonts w:asciiTheme="minorHAnsi" w:hAnsiTheme="minorHAnsi" w:cstheme="minorHAnsi"/>
        </w:rPr>
        <w:t>Офертите се подават в офиса на Сдружение „Център за изследване на демокрацията”, адрес: гр. София 1113, ул. „Александър Жендов” № 5.</w:t>
      </w:r>
    </w:p>
    <w:p w:rsidR="006E58EC" w:rsidRPr="006E58EC" w:rsidRDefault="006E58EC" w:rsidP="006E58EC">
      <w:pPr>
        <w:numPr>
          <w:ilvl w:val="0"/>
          <w:numId w:val="8"/>
        </w:numPr>
        <w:spacing w:before="120" w:after="0" w:line="240" w:lineRule="auto"/>
        <w:jc w:val="both"/>
        <w:rPr>
          <w:rFonts w:asciiTheme="minorHAnsi" w:hAnsiTheme="minorHAnsi" w:cstheme="minorHAnsi"/>
          <w:color w:val="000000"/>
          <w:sz w:val="24"/>
          <w:szCs w:val="24"/>
          <w:lang w:val="bg-BG"/>
        </w:rPr>
      </w:pPr>
      <w:r w:rsidRPr="006E58EC">
        <w:rPr>
          <w:rFonts w:asciiTheme="minorHAnsi" w:hAnsiTheme="minorHAnsi" w:cstheme="minorHAnsi"/>
          <w:color w:val="000000"/>
          <w:sz w:val="24"/>
          <w:szCs w:val="24"/>
          <w:lang w:val="bg-BG"/>
        </w:rPr>
        <w:t>Офертата се представя в запечатан непрозрачен плик от кандидата лично или от упълномощен от него представител, или по пощата с препоръчано писмо с обратна разписка.</w:t>
      </w:r>
    </w:p>
    <w:p w:rsidR="006E58EC" w:rsidRPr="006E58EC" w:rsidRDefault="006E58EC" w:rsidP="006E58EC">
      <w:pPr>
        <w:numPr>
          <w:ilvl w:val="0"/>
          <w:numId w:val="8"/>
        </w:numPr>
        <w:spacing w:before="120" w:after="0" w:line="240" w:lineRule="auto"/>
        <w:jc w:val="both"/>
        <w:rPr>
          <w:rFonts w:asciiTheme="minorHAnsi" w:hAnsiTheme="minorHAnsi" w:cstheme="minorHAnsi"/>
          <w:color w:val="000000"/>
          <w:sz w:val="24"/>
          <w:szCs w:val="24"/>
          <w:lang w:val="bg-BG"/>
        </w:rPr>
      </w:pPr>
      <w:r w:rsidRPr="006E58EC">
        <w:rPr>
          <w:rFonts w:asciiTheme="minorHAnsi" w:hAnsiTheme="minorHAnsi" w:cstheme="minorHAnsi"/>
          <w:color w:val="000000"/>
          <w:sz w:val="24"/>
          <w:szCs w:val="24"/>
          <w:lang w:val="bg-BG"/>
        </w:rPr>
        <w:t>Върху плика кандидатът посочва:</w:t>
      </w:r>
    </w:p>
    <w:p w:rsidR="006E58EC" w:rsidRPr="006E58EC" w:rsidRDefault="006E58EC" w:rsidP="006E58EC">
      <w:pPr>
        <w:numPr>
          <w:ilvl w:val="0"/>
          <w:numId w:val="9"/>
        </w:numPr>
        <w:spacing w:before="120" w:after="0" w:line="240" w:lineRule="auto"/>
        <w:ind w:left="993" w:hanging="284"/>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 xml:space="preserve">име и адрес на </w:t>
      </w:r>
      <w:r w:rsidR="00657964">
        <w:rPr>
          <w:rFonts w:asciiTheme="minorHAnsi" w:hAnsiTheme="minorHAnsi" w:cstheme="minorHAnsi"/>
          <w:sz w:val="24"/>
          <w:szCs w:val="24"/>
          <w:lang w:val="bg-BG"/>
        </w:rPr>
        <w:t>възложителя</w:t>
      </w:r>
      <w:r w:rsidRPr="006E58EC">
        <w:rPr>
          <w:rFonts w:asciiTheme="minorHAnsi" w:hAnsiTheme="minorHAnsi" w:cstheme="minorHAnsi"/>
          <w:sz w:val="24"/>
          <w:szCs w:val="24"/>
          <w:lang w:val="bg-BG"/>
        </w:rPr>
        <w:t>;</w:t>
      </w:r>
    </w:p>
    <w:p w:rsidR="006E58EC" w:rsidRPr="006E58EC" w:rsidRDefault="006E58EC" w:rsidP="006E58EC">
      <w:pPr>
        <w:numPr>
          <w:ilvl w:val="0"/>
          <w:numId w:val="9"/>
        </w:numPr>
        <w:spacing w:before="120" w:after="0" w:line="240" w:lineRule="auto"/>
        <w:ind w:left="993" w:hanging="284"/>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lastRenderedPageBreak/>
        <w:t>име, адрес за кореспонденция, телефон и по възможност - факс и електронен адрес на кандидата;</w:t>
      </w:r>
    </w:p>
    <w:p w:rsidR="006E58EC" w:rsidRPr="006E58EC" w:rsidRDefault="006E58EC" w:rsidP="006E58EC">
      <w:pPr>
        <w:numPr>
          <w:ilvl w:val="0"/>
          <w:numId w:val="9"/>
        </w:numPr>
        <w:spacing w:before="120" w:after="0" w:line="240" w:lineRule="auto"/>
        <w:ind w:left="993" w:hanging="284"/>
        <w:jc w:val="both"/>
        <w:rPr>
          <w:rFonts w:asciiTheme="minorHAnsi" w:hAnsiTheme="minorHAnsi" w:cstheme="minorHAnsi"/>
          <w:b/>
          <w:sz w:val="24"/>
          <w:szCs w:val="24"/>
          <w:lang w:val="bg-BG"/>
        </w:rPr>
      </w:pPr>
      <w:r w:rsidRPr="006E58EC">
        <w:rPr>
          <w:rFonts w:asciiTheme="minorHAnsi" w:hAnsiTheme="minorHAnsi" w:cstheme="minorHAnsi"/>
          <w:sz w:val="24"/>
          <w:szCs w:val="24"/>
          <w:lang w:val="bg-BG"/>
        </w:rPr>
        <w:t>наименование на обекта на процедурата;</w:t>
      </w:r>
    </w:p>
    <w:p w:rsidR="006E58EC" w:rsidRPr="006E58EC" w:rsidRDefault="006E58EC" w:rsidP="006E58EC">
      <w:pPr>
        <w:numPr>
          <w:ilvl w:val="0"/>
          <w:numId w:val="9"/>
        </w:numPr>
        <w:spacing w:before="120" w:after="0" w:line="240" w:lineRule="auto"/>
        <w:ind w:left="993" w:hanging="284"/>
        <w:jc w:val="both"/>
        <w:rPr>
          <w:rFonts w:asciiTheme="minorHAnsi" w:hAnsiTheme="minorHAnsi" w:cstheme="minorHAnsi"/>
          <w:color w:val="000000"/>
          <w:sz w:val="24"/>
          <w:szCs w:val="24"/>
          <w:lang w:val="bg-BG"/>
        </w:rPr>
      </w:pPr>
      <w:r w:rsidRPr="006E58EC">
        <w:rPr>
          <w:rFonts w:asciiTheme="minorHAnsi" w:hAnsiTheme="minorHAnsi" w:cstheme="minorHAnsi"/>
          <w:sz w:val="24"/>
          <w:szCs w:val="24"/>
          <w:lang w:val="bg-BG"/>
        </w:rPr>
        <w:t>следното предписание: „Да не се отваря преди разглеждане от комисията за оценяване и класиране”.</w:t>
      </w:r>
    </w:p>
    <w:p w:rsidR="006E58EC" w:rsidRPr="006E58EC" w:rsidRDefault="006E58EC" w:rsidP="006E58EC">
      <w:pPr>
        <w:pStyle w:val="firstline"/>
        <w:numPr>
          <w:ilvl w:val="0"/>
          <w:numId w:val="8"/>
        </w:numPr>
        <w:spacing w:before="120" w:line="240" w:lineRule="auto"/>
        <w:rPr>
          <w:rFonts w:asciiTheme="minorHAnsi" w:hAnsiTheme="minorHAnsi" w:cstheme="minorHAnsi"/>
        </w:rPr>
      </w:pPr>
      <w:r w:rsidRPr="006E58EC">
        <w:rPr>
          <w:rFonts w:asciiTheme="minorHAnsi" w:hAnsiTheme="minorHAnsi" w:cstheme="minorHAnsi"/>
        </w:rPr>
        <w:t>При приемане на офертата върху плика се отбелязват поредният номер, датата и часът на получаване и посочените данни се записват във входящ регистър, за което на приносителя се издава документ.</w:t>
      </w:r>
    </w:p>
    <w:p w:rsidR="006E58EC" w:rsidRPr="006E58EC" w:rsidRDefault="006E58EC" w:rsidP="006E58EC">
      <w:pPr>
        <w:pStyle w:val="firstline"/>
        <w:numPr>
          <w:ilvl w:val="0"/>
          <w:numId w:val="8"/>
        </w:numPr>
        <w:spacing w:before="120" w:line="240" w:lineRule="auto"/>
        <w:rPr>
          <w:rFonts w:asciiTheme="minorHAnsi" w:hAnsiTheme="minorHAnsi" w:cstheme="minorHAnsi"/>
        </w:rPr>
      </w:pPr>
      <w:r w:rsidRPr="006E58EC">
        <w:rPr>
          <w:rFonts w:asciiTheme="minorHAnsi" w:hAnsiTheme="minorHAnsi" w:cstheme="minorHAnsi"/>
        </w:rPr>
        <w:t xml:space="preserve">Оферти, които са представени след изтичане на крайния срок за получаване или в незапечатан или скъсан плик, не се приемат от </w:t>
      </w:r>
      <w:r w:rsidR="00657964">
        <w:rPr>
          <w:rFonts w:asciiTheme="minorHAnsi" w:hAnsiTheme="minorHAnsi" w:cstheme="minorHAnsi"/>
        </w:rPr>
        <w:t>възложителя</w:t>
      </w:r>
      <w:r w:rsidR="00657964" w:rsidRPr="006E58EC">
        <w:rPr>
          <w:rFonts w:asciiTheme="minorHAnsi" w:hAnsiTheme="minorHAnsi" w:cstheme="minorHAnsi"/>
        </w:rPr>
        <w:t xml:space="preserve"> </w:t>
      </w:r>
      <w:r w:rsidRPr="006E58EC">
        <w:rPr>
          <w:rFonts w:asciiTheme="minorHAnsi" w:hAnsiTheme="minorHAnsi" w:cstheme="minorHAnsi"/>
        </w:rPr>
        <w:t>и не се разглеждат.</w:t>
      </w:r>
    </w:p>
    <w:p w:rsidR="006E58EC" w:rsidRPr="006E58EC" w:rsidRDefault="006E58EC" w:rsidP="006E58EC">
      <w:pPr>
        <w:numPr>
          <w:ilvl w:val="0"/>
          <w:numId w:val="8"/>
        </w:numPr>
        <w:spacing w:before="120" w:after="0" w:line="240" w:lineRule="auto"/>
        <w:jc w:val="both"/>
        <w:rPr>
          <w:rFonts w:asciiTheme="minorHAnsi" w:hAnsiTheme="minorHAnsi" w:cstheme="minorHAnsi"/>
          <w:sz w:val="24"/>
          <w:szCs w:val="24"/>
          <w:lang w:val="ru-RU"/>
        </w:rPr>
      </w:pPr>
      <w:r w:rsidRPr="006E58EC">
        <w:rPr>
          <w:rFonts w:asciiTheme="minorHAnsi" w:hAnsiTheme="minorHAnsi" w:cstheme="minorHAnsi"/>
          <w:sz w:val="24"/>
          <w:szCs w:val="24"/>
          <w:lang w:val="ru-RU"/>
        </w:rPr>
        <w:t>Ако участникът изпраща офертата чрез препоръчана поща или куриерска служба,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w:t>
      </w:r>
    </w:p>
    <w:p w:rsidR="006E58EC" w:rsidRPr="006E58EC" w:rsidRDefault="006E58EC" w:rsidP="006E58EC">
      <w:pPr>
        <w:pStyle w:val="ListParagraph"/>
        <w:numPr>
          <w:ilvl w:val="0"/>
          <w:numId w:val="8"/>
        </w:numPr>
        <w:spacing w:before="120" w:after="0" w:line="240" w:lineRule="auto"/>
        <w:jc w:val="both"/>
        <w:rPr>
          <w:rFonts w:asciiTheme="minorHAnsi" w:hAnsiTheme="minorHAnsi" w:cstheme="minorHAnsi"/>
          <w:sz w:val="24"/>
          <w:szCs w:val="24"/>
          <w:lang w:val="bg-BG"/>
        </w:rPr>
      </w:pPr>
      <w:r w:rsidRPr="006E58EC">
        <w:rPr>
          <w:rFonts w:asciiTheme="minorHAnsi" w:hAnsiTheme="minorHAnsi" w:cstheme="minorHAnsi"/>
          <w:sz w:val="24"/>
          <w:szCs w:val="24"/>
          <w:lang w:val="bg-BG"/>
        </w:rPr>
        <w:t>Не се приемат оферти по електронен път.</w:t>
      </w:r>
    </w:p>
    <w:p w:rsidR="00030443" w:rsidRPr="009141D2" w:rsidRDefault="00030443" w:rsidP="006E58EC">
      <w:pPr>
        <w:pStyle w:val="ListParagraph"/>
        <w:spacing w:after="120" w:line="240" w:lineRule="auto"/>
        <w:ind w:left="360"/>
        <w:jc w:val="both"/>
        <w:rPr>
          <w:rFonts w:asciiTheme="minorHAnsi" w:hAnsiTheme="minorHAnsi" w:cstheme="minorHAnsi"/>
        </w:rPr>
      </w:pPr>
    </w:p>
    <w:sectPr w:rsidR="00030443" w:rsidRPr="009141D2" w:rsidSect="00072CF5">
      <w:headerReference w:type="even" r:id="rId8"/>
      <w:headerReference w:type="default" r:id="rId9"/>
      <w:footerReference w:type="even" r:id="rId10"/>
      <w:footerReference w:type="default" r:id="rId11"/>
      <w:headerReference w:type="first" r:id="rId12"/>
      <w:footerReference w:type="first" r:id="rId13"/>
      <w:pgSz w:w="12240" w:h="15840"/>
      <w:pgMar w:top="1361" w:right="1247" w:bottom="1247" w:left="136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1DC" w:rsidRDefault="00D511DC" w:rsidP="00794509">
      <w:pPr>
        <w:spacing w:after="0" w:line="240" w:lineRule="auto"/>
      </w:pPr>
      <w:r>
        <w:separator/>
      </w:r>
    </w:p>
  </w:endnote>
  <w:endnote w:type="continuationSeparator" w:id="0">
    <w:p w:rsidR="00D511DC" w:rsidRDefault="00D511DC" w:rsidP="00794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E7" w:rsidRDefault="00620F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3AF" w:rsidRDefault="00E763AF" w:rsidP="00794509">
    <w:pPr>
      <w:pStyle w:val="Footer"/>
      <w:ind w:right="360"/>
      <w:jc w:val="center"/>
      <w:rPr>
        <w:i/>
        <w:iCs/>
        <w:lang w:val="bg-BG"/>
      </w:rPr>
    </w:pPr>
  </w:p>
  <w:tbl>
    <w:tblPr>
      <w:tblW w:w="0" w:type="auto"/>
      <w:jc w:val="center"/>
      <w:tblCellMar>
        <w:left w:w="0" w:type="dxa"/>
        <w:right w:w="0" w:type="dxa"/>
      </w:tblCellMar>
      <w:tblLook w:val="04A0" w:firstRow="1" w:lastRow="0" w:firstColumn="1" w:lastColumn="0" w:noHBand="0" w:noVBand="1"/>
    </w:tblPr>
    <w:tblGrid>
      <w:gridCol w:w="851"/>
      <w:gridCol w:w="8781"/>
    </w:tblGrid>
    <w:tr w:rsidR="00E763AF" w:rsidRPr="00620FE7" w:rsidTr="00B21F83">
      <w:trPr>
        <w:trHeight w:val="510"/>
        <w:jc w:val="center"/>
      </w:trPr>
      <w:tc>
        <w:tcPr>
          <w:tcW w:w="851" w:type="dxa"/>
          <w:shd w:val="clear" w:color="auto" w:fill="auto"/>
        </w:tcPr>
        <w:p w:rsidR="00E763AF" w:rsidRPr="00620FE7" w:rsidRDefault="00E763AF" w:rsidP="00B21F83">
          <w:pPr>
            <w:spacing w:after="0" w:line="240" w:lineRule="auto"/>
            <w:rPr>
              <w:rFonts w:asciiTheme="minorHAnsi" w:hAnsiTheme="minorHAnsi" w:cstheme="minorHAnsi"/>
              <w:sz w:val="18"/>
              <w:szCs w:val="20"/>
              <w:lang w:eastAsia="it-IT"/>
            </w:rPr>
          </w:pPr>
          <w:r w:rsidRPr="00620FE7">
            <w:rPr>
              <w:rFonts w:asciiTheme="minorHAnsi" w:hAnsiTheme="minorHAnsi" w:cstheme="minorHAnsi"/>
              <w:noProof/>
              <w:sz w:val="18"/>
              <w:szCs w:val="20"/>
              <w:lang w:val="bg-BG" w:eastAsia="bg-BG"/>
            </w:rPr>
            <w:drawing>
              <wp:inline distT="0" distB="0" distL="0" distR="0" wp14:anchorId="08637B0A" wp14:editId="6B73DCDC">
                <wp:extent cx="438150" cy="285750"/>
                <wp:effectExtent l="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85750"/>
                        </a:xfrm>
                        <a:prstGeom prst="rect">
                          <a:avLst/>
                        </a:prstGeom>
                        <a:noFill/>
                        <a:ln>
                          <a:noFill/>
                        </a:ln>
                      </pic:spPr>
                    </pic:pic>
                  </a:graphicData>
                </a:graphic>
              </wp:inline>
            </w:drawing>
          </w:r>
        </w:p>
      </w:tc>
      <w:tc>
        <w:tcPr>
          <w:tcW w:w="8787" w:type="dxa"/>
          <w:shd w:val="clear" w:color="auto" w:fill="auto"/>
          <w:vAlign w:val="center"/>
        </w:tcPr>
        <w:p w:rsidR="00E763AF" w:rsidRPr="00620FE7" w:rsidRDefault="00215BC2" w:rsidP="00177A79">
          <w:pPr>
            <w:spacing w:after="0" w:line="240" w:lineRule="auto"/>
            <w:rPr>
              <w:rFonts w:asciiTheme="minorHAnsi" w:hAnsiTheme="minorHAnsi" w:cstheme="minorHAnsi"/>
              <w:sz w:val="20"/>
              <w:szCs w:val="23"/>
              <w:lang w:eastAsia="it-IT"/>
            </w:rPr>
          </w:pPr>
          <w:r w:rsidRPr="00620FE7">
            <w:rPr>
              <w:rFonts w:asciiTheme="minorHAnsi" w:hAnsiTheme="minorHAnsi" w:cstheme="minorHAnsi"/>
              <w:sz w:val="20"/>
              <w:szCs w:val="23"/>
              <w:lang w:val="bg-BG" w:eastAsia="it-IT"/>
            </w:rPr>
            <w:t>С финансовата подкрепа на програма Превенция и борба срещу престъпността</w:t>
          </w:r>
          <w:r w:rsidR="00E763AF" w:rsidRPr="00620FE7">
            <w:rPr>
              <w:rFonts w:asciiTheme="minorHAnsi" w:hAnsiTheme="minorHAnsi" w:cstheme="minorHAnsi"/>
              <w:sz w:val="20"/>
              <w:szCs w:val="23"/>
              <w:lang w:eastAsia="it-IT"/>
            </w:rPr>
            <w:br/>
          </w:r>
          <w:proofErr w:type="spellStart"/>
          <w:r w:rsidRPr="00620FE7">
            <w:rPr>
              <w:rFonts w:asciiTheme="minorHAnsi" w:hAnsiTheme="minorHAnsi" w:cstheme="minorHAnsi"/>
              <w:sz w:val="20"/>
              <w:szCs w:val="23"/>
              <w:lang w:eastAsia="it-IT"/>
            </w:rPr>
            <w:t>Европейската</w:t>
          </w:r>
          <w:proofErr w:type="spellEnd"/>
          <w:r w:rsidRPr="00620FE7">
            <w:rPr>
              <w:rFonts w:asciiTheme="minorHAnsi" w:hAnsiTheme="minorHAnsi" w:cstheme="minorHAnsi"/>
              <w:sz w:val="20"/>
              <w:szCs w:val="23"/>
              <w:lang w:eastAsia="it-IT"/>
            </w:rPr>
            <w:t xml:space="preserve"> </w:t>
          </w:r>
          <w:proofErr w:type="spellStart"/>
          <w:r w:rsidRPr="00620FE7">
            <w:rPr>
              <w:rFonts w:asciiTheme="minorHAnsi" w:hAnsiTheme="minorHAnsi" w:cstheme="minorHAnsi"/>
              <w:sz w:val="20"/>
              <w:szCs w:val="23"/>
              <w:lang w:eastAsia="it-IT"/>
            </w:rPr>
            <w:t>комисия</w:t>
          </w:r>
          <w:proofErr w:type="spellEnd"/>
          <w:r w:rsidRPr="00620FE7">
            <w:rPr>
              <w:rFonts w:asciiTheme="minorHAnsi" w:hAnsiTheme="minorHAnsi" w:cstheme="minorHAnsi"/>
              <w:sz w:val="20"/>
              <w:szCs w:val="23"/>
              <w:lang w:eastAsia="it-IT"/>
            </w:rPr>
            <w:t xml:space="preserve"> </w:t>
          </w:r>
          <w:r w:rsidR="00E763AF" w:rsidRPr="00620FE7">
            <w:rPr>
              <w:rFonts w:asciiTheme="minorHAnsi" w:hAnsiTheme="minorHAnsi" w:cstheme="minorHAnsi"/>
              <w:sz w:val="20"/>
              <w:szCs w:val="23"/>
              <w:lang w:eastAsia="it-IT"/>
            </w:rPr>
            <w:t xml:space="preserve">- </w:t>
          </w:r>
          <w:r w:rsidRPr="00620FE7">
            <w:rPr>
              <w:rFonts w:asciiTheme="minorHAnsi" w:hAnsiTheme="minorHAnsi" w:cstheme="minorHAnsi"/>
              <w:sz w:val="20"/>
              <w:szCs w:val="23"/>
              <w:lang w:eastAsia="it-IT"/>
            </w:rPr>
            <w:t>ГД "</w:t>
          </w:r>
          <w:proofErr w:type="spellStart"/>
          <w:r w:rsidRPr="00620FE7">
            <w:rPr>
              <w:rFonts w:asciiTheme="minorHAnsi" w:hAnsiTheme="minorHAnsi" w:cstheme="minorHAnsi"/>
              <w:sz w:val="20"/>
              <w:szCs w:val="23"/>
              <w:lang w:eastAsia="it-IT"/>
            </w:rPr>
            <w:t>Вътрешни</w:t>
          </w:r>
          <w:proofErr w:type="spellEnd"/>
          <w:r w:rsidRPr="00620FE7">
            <w:rPr>
              <w:rFonts w:asciiTheme="minorHAnsi" w:hAnsiTheme="minorHAnsi" w:cstheme="minorHAnsi"/>
              <w:sz w:val="20"/>
              <w:szCs w:val="23"/>
              <w:lang w:eastAsia="it-IT"/>
            </w:rPr>
            <w:t xml:space="preserve"> </w:t>
          </w:r>
          <w:proofErr w:type="spellStart"/>
          <w:r w:rsidRPr="00620FE7">
            <w:rPr>
              <w:rFonts w:asciiTheme="minorHAnsi" w:hAnsiTheme="minorHAnsi" w:cstheme="minorHAnsi"/>
              <w:sz w:val="20"/>
              <w:szCs w:val="23"/>
              <w:lang w:eastAsia="it-IT"/>
            </w:rPr>
            <w:t>работи</w:t>
          </w:r>
          <w:proofErr w:type="spellEnd"/>
          <w:r w:rsidRPr="00620FE7">
            <w:rPr>
              <w:rFonts w:asciiTheme="minorHAnsi" w:hAnsiTheme="minorHAnsi" w:cstheme="minorHAnsi"/>
              <w:sz w:val="20"/>
              <w:szCs w:val="23"/>
              <w:lang w:eastAsia="it-IT"/>
            </w:rPr>
            <w:t xml:space="preserve">" </w:t>
          </w:r>
        </w:p>
      </w:tc>
    </w:tr>
  </w:tbl>
  <w:p w:rsidR="00E763AF" w:rsidRPr="00C13DF2" w:rsidRDefault="00E763AF" w:rsidP="00794509">
    <w:pPr>
      <w:pStyle w:val="Footer"/>
      <w:ind w:right="360"/>
      <w:jc w:val="center"/>
      <w:rPr>
        <w:i/>
        <w:iCs/>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E7" w:rsidRDefault="00620F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1DC" w:rsidRDefault="00D511DC" w:rsidP="00794509">
      <w:pPr>
        <w:spacing w:after="0" w:line="240" w:lineRule="auto"/>
      </w:pPr>
      <w:r>
        <w:separator/>
      </w:r>
    </w:p>
  </w:footnote>
  <w:footnote w:type="continuationSeparator" w:id="0">
    <w:p w:rsidR="00D511DC" w:rsidRDefault="00D511DC" w:rsidP="00794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E7" w:rsidRDefault="00620F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3AF" w:rsidRDefault="00E763AF" w:rsidP="00794509">
    <w:pPr>
      <w:pStyle w:val="Header"/>
      <w:ind w:hanging="567"/>
    </w:pPr>
    <w:r>
      <w:rPr>
        <w:noProof/>
        <w:lang w:val="bg-BG" w:eastAsia="bg-BG"/>
      </w:rPr>
      <w:drawing>
        <wp:anchor distT="0" distB="0" distL="114300" distR="114300" simplePos="0" relativeHeight="251657728" behindDoc="0" locked="0" layoutInCell="1" allowOverlap="1" wp14:anchorId="478F00F5" wp14:editId="542484DA">
          <wp:simplePos x="0" y="0"/>
          <wp:positionH relativeFrom="column">
            <wp:posOffset>-77470</wp:posOffset>
          </wp:positionH>
          <wp:positionV relativeFrom="paragraph">
            <wp:posOffset>-228600</wp:posOffset>
          </wp:positionV>
          <wp:extent cx="6123305" cy="497205"/>
          <wp:effectExtent l="0" t="0" r="0" b="0"/>
          <wp:wrapNone/>
          <wp:docPr id="6" name="Immagine 1" descr="Loghi_SurfandS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hi_SurfandSoun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3305" cy="497205"/>
                  </a:xfrm>
                  <a:prstGeom prst="rect">
                    <a:avLst/>
                  </a:prstGeom>
                  <a:noFill/>
                </pic:spPr>
              </pic:pic>
            </a:graphicData>
          </a:graphic>
          <wp14:sizeRelH relativeFrom="page">
            <wp14:pctWidth>0</wp14:pctWidth>
          </wp14:sizeRelH>
          <wp14:sizeRelV relativeFrom="page">
            <wp14:pctHeight>0</wp14:pctHeight>
          </wp14:sizeRelV>
        </wp:anchor>
      </w:drawing>
    </w:r>
  </w:p>
  <w:p w:rsidR="00E763AF" w:rsidRDefault="00E763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E7" w:rsidRDefault="00620F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60EA"/>
    <w:multiLevelType w:val="hybridMultilevel"/>
    <w:tmpl w:val="98A4575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6215A14"/>
    <w:multiLevelType w:val="hybridMultilevel"/>
    <w:tmpl w:val="EA7EAA22"/>
    <w:lvl w:ilvl="0" w:tplc="04020013">
      <w:start w:val="1"/>
      <w:numFmt w:val="upperRoman"/>
      <w:lvlText w:val="%1."/>
      <w:lvlJc w:val="righ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3F6F501A"/>
    <w:multiLevelType w:val="multilevel"/>
    <w:tmpl w:val="D6CAC0FA"/>
    <w:lvl w:ilvl="0">
      <w:start w:val="1"/>
      <w:numFmt w:val="decimal"/>
      <w:lvlText w:val="%1."/>
      <w:lvlJc w:val="left"/>
      <w:pPr>
        <w:ind w:left="360" w:hanging="360"/>
      </w:pPr>
      <w:rPr>
        <w:rFonts w:hint="default"/>
        <w:b/>
        <w:bCs/>
      </w:rPr>
    </w:lvl>
    <w:lvl w:ilvl="1">
      <w:start w:val="1"/>
      <w:numFmt w:val="decimal"/>
      <w:isLgl/>
      <w:lvlText w:val="%1.%2"/>
      <w:lvlJc w:val="left"/>
      <w:pPr>
        <w:ind w:left="284" w:hanging="360"/>
      </w:pPr>
      <w:rPr>
        <w:rFonts w:hint="default"/>
        <w:b/>
        <w:bCs/>
      </w:rPr>
    </w:lvl>
    <w:lvl w:ilvl="2">
      <w:start w:val="1"/>
      <w:numFmt w:val="decimal"/>
      <w:isLgl/>
      <w:lvlText w:val="%1.%2.%3"/>
      <w:lvlJc w:val="left"/>
      <w:pPr>
        <w:ind w:left="2116" w:hanging="720"/>
      </w:pPr>
      <w:rPr>
        <w:rFonts w:hint="default"/>
      </w:rPr>
    </w:lvl>
    <w:lvl w:ilvl="3">
      <w:start w:val="1"/>
      <w:numFmt w:val="bullet"/>
      <w:lvlText w:val="-"/>
      <w:lvlJc w:val="left"/>
      <w:pPr>
        <w:ind w:left="2814" w:hanging="720"/>
      </w:pPr>
      <w:rPr>
        <w:rFonts w:ascii="Calibri" w:eastAsia="Times New Roman" w:hAnsi="Calibri" w:hint="default"/>
      </w:rPr>
    </w:lvl>
    <w:lvl w:ilvl="4">
      <w:start w:val="1"/>
      <w:numFmt w:val="decimal"/>
      <w:isLgl/>
      <w:lvlText w:val="%1.%2.%3.%4.%5"/>
      <w:lvlJc w:val="left"/>
      <w:pPr>
        <w:ind w:left="3872" w:hanging="1080"/>
      </w:pPr>
      <w:rPr>
        <w:rFonts w:hint="default"/>
      </w:rPr>
    </w:lvl>
    <w:lvl w:ilvl="5">
      <w:start w:val="1"/>
      <w:numFmt w:val="decimal"/>
      <w:isLgl/>
      <w:lvlText w:val="%1.%2.%3.%4.%5.%6"/>
      <w:lvlJc w:val="left"/>
      <w:pPr>
        <w:ind w:left="4570" w:hanging="1080"/>
      </w:pPr>
      <w:rPr>
        <w:rFonts w:hint="default"/>
      </w:rPr>
    </w:lvl>
    <w:lvl w:ilvl="6">
      <w:start w:val="1"/>
      <w:numFmt w:val="decimal"/>
      <w:isLgl/>
      <w:lvlText w:val="%1.%2.%3.%4.%5.%6.%7"/>
      <w:lvlJc w:val="left"/>
      <w:pPr>
        <w:ind w:left="5628" w:hanging="1440"/>
      </w:pPr>
      <w:rPr>
        <w:rFonts w:hint="default"/>
      </w:rPr>
    </w:lvl>
    <w:lvl w:ilvl="7">
      <w:start w:val="1"/>
      <w:numFmt w:val="decimal"/>
      <w:isLgl/>
      <w:lvlText w:val="%1.%2.%3.%4.%5.%6.%7.%8"/>
      <w:lvlJc w:val="left"/>
      <w:pPr>
        <w:ind w:left="6326" w:hanging="1440"/>
      </w:pPr>
      <w:rPr>
        <w:rFonts w:hint="default"/>
      </w:rPr>
    </w:lvl>
    <w:lvl w:ilvl="8">
      <w:start w:val="1"/>
      <w:numFmt w:val="decimal"/>
      <w:isLgl/>
      <w:lvlText w:val="%1.%2.%3.%4.%5.%6.%7.%8.%9"/>
      <w:lvlJc w:val="left"/>
      <w:pPr>
        <w:ind w:left="7384" w:hanging="1800"/>
      </w:pPr>
      <w:rPr>
        <w:rFonts w:hint="default"/>
      </w:rPr>
    </w:lvl>
  </w:abstractNum>
  <w:abstractNum w:abstractNumId="3">
    <w:nsid w:val="4B4303D7"/>
    <w:multiLevelType w:val="multilevel"/>
    <w:tmpl w:val="D6CAC0FA"/>
    <w:lvl w:ilvl="0">
      <w:start w:val="1"/>
      <w:numFmt w:val="decimal"/>
      <w:lvlText w:val="%1."/>
      <w:lvlJc w:val="left"/>
      <w:pPr>
        <w:ind w:left="360" w:hanging="360"/>
      </w:pPr>
      <w:rPr>
        <w:rFonts w:hint="default"/>
        <w:b/>
        <w:bCs/>
      </w:rPr>
    </w:lvl>
    <w:lvl w:ilvl="1">
      <w:start w:val="1"/>
      <w:numFmt w:val="decimal"/>
      <w:isLgl/>
      <w:lvlText w:val="%1.%2"/>
      <w:lvlJc w:val="left"/>
      <w:pPr>
        <w:ind w:left="284" w:hanging="360"/>
      </w:pPr>
      <w:rPr>
        <w:rFonts w:hint="default"/>
        <w:b/>
        <w:bCs/>
      </w:rPr>
    </w:lvl>
    <w:lvl w:ilvl="2">
      <w:start w:val="1"/>
      <w:numFmt w:val="decimal"/>
      <w:isLgl/>
      <w:lvlText w:val="%1.%2.%3"/>
      <w:lvlJc w:val="left"/>
      <w:pPr>
        <w:ind w:left="2116" w:hanging="720"/>
      </w:pPr>
      <w:rPr>
        <w:rFonts w:hint="default"/>
      </w:rPr>
    </w:lvl>
    <w:lvl w:ilvl="3">
      <w:start w:val="1"/>
      <w:numFmt w:val="bullet"/>
      <w:lvlText w:val="-"/>
      <w:lvlJc w:val="left"/>
      <w:pPr>
        <w:ind w:left="2814" w:hanging="720"/>
      </w:pPr>
      <w:rPr>
        <w:rFonts w:ascii="Calibri" w:eastAsia="Times New Roman" w:hAnsi="Calibri" w:hint="default"/>
      </w:rPr>
    </w:lvl>
    <w:lvl w:ilvl="4">
      <w:start w:val="1"/>
      <w:numFmt w:val="decimal"/>
      <w:isLgl/>
      <w:lvlText w:val="%1.%2.%3.%4.%5"/>
      <w:lvlJc w:val="left"/>
      <w:pPr>
        <w:ind w:left="3872" w:hanging="1080"/>
      </w:pPr>
      <w:rPr>
        <w:rFonts w:hint="default"/>
      </w:rPr>
    </w:lvl>
    <w:lvl w:ilvl="5">
      <w:start w:val="1"/>
      <w:numFmt w:val="decimal"/>
      <w:isLgl/>
      <w:lvlText w:val="%1.%2.%3.%4.%5.%6"/>
      <w:lvlJc w:val="left"/>
      <w:pPr>
        <w:ind w:left="4570" w:hanging="1080"/>
      </w:pPr>
      <w:rPr>
        <w:rFonts w:hint="default"/>
      </w:rPr>
    </w:lvl>
    <w:lvl w:ilvl="6">
      <w:start w:val="1"/>
      <w:numFmt w:val="decimal"/>
      <w:isLgl/>
      <w:lvlText w:val="%1.%2.%3.%4.%5.%6.%7"/>
      <w:lvlJc w:val="left"/>
      <w:pPr>
        <w:ind w:left="5628" w:hanging="1440"/>
      </w:pPr>
      <w:rPr>
        <w:rFonts w:hint="default"/>
      </w:rPr>
    </w:lvl>
    <w:lvl w:ilvl="7">
      <w:start w:val="1"/>
      <w:numFmt w:val="decimal"/>
      <w:isLgl/>
      <w:lvlText w:val="%1.%2.%3.%4.%5.%6.%7.%8"/>
      <w:lvlJc w:val="left"/>
      <w:pPr>
        <w:ind w:left="6326" w:hanging="1440"/>
      </w:pPr>
      <w:rPr>
        <w:rFonts w:hint="default"/>
      </w:rPr>
    </w:lvl>
    <w:lvl w:ilvl="8">
      <w:start w:val="1"/>
      <w:numFmt w:val="decimal"/>
      <w:isLgl/>
      <w:lvlText w:val="%1.%2.%3.%4.%5.%6.%7.%8.%9"/>
      <w:lvlJc w:val="left"/>
      <w:pPr>
        <w:ind w:left="7384" w:hanging="1800"/>
      </w:pPr>
      <w:rPr>
        <w:rFonts w:hint="default"/>
      </w:rPr>
    </w:lvl>
  </w:abstractNum>
  <w:abstractNum w:abstractNumId="4">
    <w:nsid w:val="4FF35D66"/>
    <w:multiLevelType w:val="hybridMultilevel"/>
    <w:tmpl w:val="D5BE8D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05C1AEE"/>
    <w:multiLevelType w:val="hybridMultilevel"/>
    <w:tmpl w:val="974E370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1696BEA"/>
    <w:multiLevelType w:val="multilevel"/>
    <w:tmpl w:val="D6CAC0FA"/>
    <w:lvl w:ilvl="0">
      <w:start w:val="1"/>
      <w:numFmt w:val="decimal"/>
      <w:lvlText w:val="%1."/>
      <w:lvlJc w:val="left"/>
      <w:pPr>
        <w:ind w:left="360" w:hanging="360"/>
      </w:pPr>
      <w:rPr>
        <w:rFonts w:hint="default"/>
        <w:b/>
        <w:bCs/>
      </w:rPr>
    </w:lvl>
    <w:lvl w:ilvl="1">
      <w:start w:val="1"/>
      <w:numFmt w:val="decimal"/>
      <w:isLgl/>
      <w:lvlText w:val="%1.%2"/>
      <w:lvlJc w:val="left"/>
      <w:pPr>
        <w:ind w:left="284" w:hanging="360"/>
      </w:pPr>
      <w:rPr>
        <w:rFonts w:hint="default"/>
        <w:b/>
        <w:bCs/>
      </w:rPr>
    </w:lvl>
    <w:lvl w:ilvl="2">
      <w:start w:val="1"/>
      <w:numFmt w:val="decimal"/>
      <w:isLgl/>
      <w:lvlText w:val="%1.%2.%3"/>
      <w:lvlJc w:val="left"/>
      <w:pPr>
        <w:ind w:left="2116" w:hanging="720"/>
      </w:pPr>
      <w:rPr>
        <w:rFonts w:hint="default"/>
      </w:rPr>
    </w:lvl>
    <w:lvl w:ilvl="3">
      <w:start w:val="1"/>
      <w:numFmt w:val="bullet"/>
      <w:lvlText w:val="-"/>
      <w:lvlJc w:val="left"/>
      <w:pPr>
        <w:ind w:left="2814" w:hanging="720"/>
      </w:pPr>
      <w:rPr>
        <w:rFonts w:ascii="Calibri" w:eastAsia="Times New Roman" w:hAnsi="Calibri" w:hint="default"/>
      </w:rPr>
    </w:lvl>
    <w:lvl w:ilvl="4">
      <w:start w:val="1"/>
      <w:numFmt w:val="decimal"/>
      <w:isLgl/>
      <w:lvlText w:val="%1.%2.%3.%4.%5"/>
      <w:lvlJc w:val="left"/>
      <w:pPr>
        <w:ind w:left="3872" w:hanging="1080"/>
      </w:pPr>
      <w:rPr>
        <w:rFonts w:hint="default"/>
      </w:rPr>
    </w:lvl>
    <w:lvl w:ilvl="5">
      <w:start w:val="1"/>
      <w:numFmt w:val="decimal"/>
      <w:isLgl/>
      <w:lvlText w:val="%1.%2.%3.%4.%5.%6"/>
      <w:lvlJc w:val="left"/>
      <w:pPr>
        <w:ind w:left="4570" w:hanging="1080"/>
      </w:pPr>
      <w:rPr>
        <w:rFonts w:hint="default"/>
      </w:rPr>
    </w:lvl>
    <w:lvl w:ilvl="6">
      <w:start w:val="1"/>
      <w:numFmt w:val="decimal"/>
      <w:isLgl/>
      <w:lvlText w:val="%1.%2.%3.%4.%5.%6.%7"/>
      <w:lvlJc w:val="left"/>
      <w:pPr>
        <w:ind w:left="5628" w:hanging="1440"/>
      </w:pPr>
      <w:rPr>
        <w:rFonts w:hint="default"/>
      </w:rPr>
    </w:lvl>
    <w:lvl w:ilvl="7">
      <w:start w:val="1"/>
      <w:numFmt w:val="decimal"/>
      <w:isLgl/>
      <w:lvlText w:val="%1.%2.%3.%4.%5.%6.%7.%8"/>
      <w:lvlJc w:val="left"/>
      <w:pPr>
        <w:ind w:left="6326" w:hanging="1440"/>
      </w:pPr>
      <w:rPr>
        <w:rFonts w:hint="default"/>
      </w:rPr>
    </w:lvl>
    <w:lvl w:ilvl="8">
      <w:start w:val="1"/>
      <w:numFmt w:val="decimal"/>
      <w:isLgl/>
      <w:lvlText w:val="%1.%2.%3.%4.%5.%6.%7.%8.%9"/>
      <w:lvlJc w:val="left"/>
      <w:pPr>
        <w:ind w:left="7384" w:hanging="1800"/>
      </w:pPr>
      <w:rPr>
        <w:rFonts w:hint="default"/>
      </w:rPr>
    </w:lvl>
  </w:abstractNum>
  <w:abstractNum w:abstractNumId="7">
    <w:nsid w:val="594C7413"/>
    <w:multiLevelType w:val="multilevel"/>
    <w:tmpl w:val="D6CAC0FA"/>
    <w:lvl w:ilvl="0">
      <w:start w:val="1"/>
      <w:numFmt w:val="decimal"/>
      <w:lvlText w:val="%1."/>
      <w:lvlJc w:val="left"/>
      <w:pPr>
        <w:ind w:left="360" w:hanging="360"/>
      </w:pPr>
      <w:rPr>
        <w:rFonts w:hint="default"/>
        <w:b/>
        <w:bCs/>
      </w:rPr>
    </w:lvl>
    <w:lvl w:ilvl="1">
      <w:start w:val="1"/>
      <w:numFmt w:val="decimal"/>
      <w:isLgl/>
      <w:lvlText w:val="%1.%2"/>
      <w:lvlJc w:val="left"/>
      <w:pPr>
        <w:ind w:left="284" w:hanging="360"/>
      </w:pPr>
      <w:rPr>
        <w:rFonts w:hint="default"/>
        <w:b/>
        <w:bCs/>
      </w:rPr>
    </w:lvl>
    <w:lvl w:ilvl="2">
      <w:start w:val="1"/>
      <w:numFmt w:val="decimal"/>
      <w:isLgl/>
      <w:lvlText w:val="%1.%2.%3"/>
      <w:lvlJc w:val="left"/>
      <w:pPr>
        <w:ind w:left="2116" w:hanging="720"/>
      </w:pPr>
      <w:rPr>
        <w:rFonts w:hint="default"/>
      </w:rPr>
    </w:lvl>
    <w:lvl w:ilvl="3">
      <w:start w:val="1"/>
      <w:numFmt w:val="bullet"/>
      <w:lvlText w:val="-"/>
      <w:lvlJc w:val="left"/>
      <w:pPr>
        <w:ind w:left="2814" w:hanging="720"/>
      </w:pPr>
      <w:rPr>
        <w:rFonts w:ascii="Calibri" w:eastAsia="Times New Roman" w:hAnsi="Calibri" w:hint="default"/>
      </w:rPr>
    </w:lvl>
    <w:lvl w:ilvl="4">
      <w:start w:val="1"/>
      <w:numFmt w:val="decimal"/>
      <w:isLgl/>
      <w:lvlText w:val="%1.%2.%3.%4.%5"/>
      <w:lvlJc w:val="left"/>
      <w:pPr>
        <w:ind w:left="3872" w:hanging="1080"/>
      </w:pPr>
      <w:rPr>
        <w:rFonts w:hint="default"/>
      </w:rPr>
    </w:lvl>
    <w:lvl w:ilvl="5">
      <w:start w:val="1"/>
      <w:numFmt w:val="decimal"/>
      <w:isLgl/>
      <w:lvlText w:val="%1.%2.%3.%4.%5.%6"/>
      <w:lvlJc w:val="left"/>
      <w:pPr>
        <w:ind w:left="4570" w:hanging="1080"/>
      </w:pPr>
      <w:rPr>
        <w:rFonts w:hint="default"/>
      </w:rPr>
    </w:lvl>
    <w:lvl w:ilvl="6">
      <w:start w:val="1"/>
      <w:numFmt w:val="decimal"/>
      <w:isLgl/>
      <w:lvlText w:val="%1.%2.%3.%4.%5.%6.%7"/>
      <w:lvlJc w:val="left"/>
      <w:pPr>
        <w:ind w:left="5628" w:hanging="1440"/>
      </w:pPr>
      <w:rPr>
        <w:rFonts w:hint="default"/>
      </w:rPr>
    </w:lvl>
    <w:lvl w:ilvl="7">
      <w:start w:val="1"/>
      <w:numFmt w:val="decimal"/>
      <w:isLgl/>
      <w:lvlText w:val="%1.%2.%3.%4.%5.%6.%7.%8"/>
      <w:lvlJc w:val="left"/>
      <w:pPr>
        <w:ind w:left="6326" w:hanging="1440"/>
      </w:pPr>
      <w:rPr>
        <w:rFonts w:hint="default"/>
      </w:rPr>
    </w:lvl>
    <w:lvl w:ilvl="8">
      <w:start w:val="1"/>
      <w:numFmt w:val="decimal"/>
      <w:isLgl/>
      <w:lvlText w:val="%1.%2.%3.%4.%5.%6.%7.%8.%9"/>
      <w:lvlJc w:val="left"/>
      <w:pPr>
        <w:ind w:left="7384" w:hanging="1800"/>
      </w:pPr>
      <w:rPr>
        <w:rFonts w:hint="default"/>
      </w:rPr>
    </w:lvl>
  </w:abstractNum>
  <w:num w:numId="1">
    <w:abstractNumId w:val="1"/>
  </w:num>
  <w:num w:numId="2">
    <w:abstractNumId w:val="7"/>
  </w:num>
  <w:num w:numId="3">
    <w:abstractNumId w:val="2"/>
  </w:num>
  <w:num w:numId="4">
    <w:abstractNumId w:val="6"/>
  </w:num>
  <w:num w:numId="5">
    <w:abstractNumId w:val="5"/>
  </w:num>
  <w:num w:numId="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509"/>
    <w:rsid w:val="000023B8"/>
    <w:rsid w:val="00020E9C"/>
    <w:rsid w:val="00030443"/>
    <w:rsid w:val="00031102"/>
    <w:rsid w:val="0004028E"/>
    <w:rsid w:val="00043319"/>
    <w:rsid w:val="0005033E"/>
    <w:rsid w:val="00072CF5"/>
    <w:rsid w:val="000A5B38"/>
    <w:rsid w:val="000F62D3"/>
    <w:rsid w:val="00117BCB"/>
    <w:rsid w:val="00134779"/>
    <w:rsid w:val="00141A35"/>
    <w:rsid w:val="00160AC2"/>
    <w:rsid w:val="00161EC4"/>
    <w:rsid w:val="0016384A"/>
    <w:rsid w:val="00177A79"/>
    <w:rsid w:val="0019107D"/>
    <w:rsid w:val="00193985"/>
    <w:rsid w:val="001D70A6"/>
    <w:rsid w:val="001E10AF"/>
    <w:rsid w:val="001F246A"/>
    <w:rsid w:val="001F5A5A"/>
    <w:rsid w:val="00215BC2"/>
    <w:rsid w:val="00224D9D"/>
    <w:rsid w:val="002270BB"/>
    <w:rsid w:val="00231F2F"/>
    <w:rsid w:val="00236C8C"/>
    <w:rsid w:val="002400D0"/>
    <w:rsid w:val="0027005C"/>
    <w:rsid w:val="00282DF7"/>
    <w:rsid w:val="002F4381"/>
    <w:rsid w:val="00301001"/>
    <w:rsid w:val="003054B1"/>
    <w:rsid w:val="0032214B"/>
    <w:rsid w:val="003551BC"/>
    <w:rsid w:val="00366878"/>
    <w:rsid w:val="003719F9"/>
    <w:rsid w:val="0037394C"/>
    <w:rsid w:val="00374DF6"/>
    <w:rsid w:val="003924DB"/>
    <w:rsid w:val="003A0DCA"/>
    <w:rsid w:val="003D4E71"/>
    <w:rsid w:val="004062F3"/>
    <w:rsid w:val="00426A26"/>
    <w:rsid w:val="00426D8D"/>
    <w:rsid w:val="00446FB9"/>
    <w:rsid w:val="0045581D"/>
    <w:rsid w:val="00457970"/>
    <w:rsid w:val="00484037"/>
    <w:rsid w:val="004C18E9"/>
    <w:rsid w:val="00512B05"/>
    <w:rsid w:val="0051647F"/>
    <w:rsid w:val="00531825"/>
    <w:rsid w:val="005334CD"/>
    <w:rsid w:val="00535F20"/>
    <w:rsid w:val="00537988"/>
    <w:rsid w:val="00547896"/>
    <w:rsid w:val="005542F7"/>
    <w:rsid w:val="00561591"/>
    <w:rsid w:val="00565280"/>
    <w:rsid w:val="00586034"/>
    <w:rsid w:val="005872E7"/>
    <w:rsid w:val="005B2899"/>
    <w:rsid w:val="005E01BC"/>
    <w:rsid w:val="00607B54"/>
    <w:rsid w:val="00620FE7"/>
    <w:rsid w:val="006324FC"/>
    <w:rsid w:val="00640D55"/>
    <w:rsid w:val="00651F6C"/>
    <w:rsid w:val="00657964"/>
    <w:rsid w:val="00665063"/>
    <w:rsid w:val="00670377"/>
    <w:rsid w:val="00671319"/>
    <w:rsid w:val="0067695E"/>
    <w:rsid w:val="00682226"/>
    <w:rsid w:val="00684690"/>
    <w:rsid w:val="006A0607"/>
    <w:rsid w:val="006B6853"/>
    <w:rsid w:val="006C10D3"/>
    <w:rsid w:val="006C41BA"/>
    <w:rsid w:val="006C7DBB"/>
    <w:rsid w:val="006E1BE5"/>
    <w:rsid w:val="006E3099"/>
    <w:rsid w:val="006E58EC"/>
    <w:rsid w:val="006E7AFD"/>
    <w:rsid w:val="00705D26"/>
    <w:rsid w:val="00720358"/>
    <w:rsid w:val="00721CAB"/>
    <w:rsid w:val="007406D0"/>
    <w:rsid w:val="00755A93"/>
    <w:rsid w:val="00766006"/>
    <w:rsid w:val="00773BA9"/>
    <w:rsid w:val="00784C78"/>
    <w:rsid w:val="00791A25"/>
    <w:rsid w:val="00794509"/>
    <w:rsid w:val="007B060B"/>
    <w:rsid w:val="007B1556"/>
    <w:rsid w:val="007D1943"/>
    <w:rsid w:val="007F6476"/>
    <w:rsid w:val="0083435B"/>
    <w:rsid w:val="00860237"/>
    <w:rsid w:val="008876BB"/>
    <w:rsid w:val="00895DCF"/>
    <w:rsid w:val="008A1725"/>
    <w:rsid w:val="008B4947"/>
    <w:rsid w:val="008E1EA1"/>
    <w:rsid w:val="008E7DCE"/>
    <w:rsid w:val="008F00F9"/>
    <w:rsid w:val="009141D2"/>
    <w:rsid w:val="00961E97"/>
    <w:rsid w:val="009B12BA"/>
    <w:rsid w:val="00A30702"/>
    <w:rsid w:val="00A71C13"/>
    <w:rsid w:val="00A7533F"/>
    <w:rsid w:val="00A8598E"/>
    <w:rsid w:val="00A960F5"/>
    <w:rsid w:val="00AA0A40"/>
    <w:rsid w:val="00AB6B50"/>
    <w:rsid w:val="00AD40A4"/>
    <w:rsid w:val="00AE2324"/>
    <w:rsid w:val="00AF4146"/>
    <w:rsid w:val="00B02598"/>
    <w:rsid w:val="00B21F83"/>
    <w:rsid w:val="00B824F0"/>
    <w:rsid w:val="00BD5BEB"/>
    <w:rsid w:val="00BE67BE"/>
    <w:rsid w:val="00C04B9A"/>
    <w:rsid w:val="00C13DF2"/>
    <w:rsid w:val="00C160F9"/>
    <w:rsid w:val="00C24A1D"/>
    <w:rsid w:val="00C42868"/>
    <w:rsid w:val="00C42FAB"/>
    <w:rsid w:val="00C806F8"/>
    <w:rsid w:val="00C94796"/>
    <w:rsid w:val="00CE28BD"/>
    <w:rsid w:val="00CF71B0"/>
    <w:rsid w:val="00D06594"/>
    <w:rsid w:val="00D22F78"/>
    <w:rsid w:val="00D511DC"/>
    <w:rsid w:val="00D52D7C"/>
    <w:rsid w:val="00D9594E"/>
    <w:rsid w:val="00DC0749"/>
    <w:rsid w:val="00DF37D4"/>
    <w:rsid w:val="00E1315F"/>
    <w:rsid w:val="00E1576D"/>
    <w:rsid w:val="00E17124"/>
    <w:rsid w:val="00E27D13"/>
    <w:rsid w:val="00E763AF"/>
    <w:rsid w:val="00E80FC0"/>
    <w:rsid w:val="00EB1666"/>
    <w:rsid w:val="00EB481E"/>
    <w:rsid w:val="00EC4938"/>
    <w:rsid w:val="00EC65EE"/>
    <w:rsid w:val="00EE3B43"/>
    <w:rsid w:val="00F00E15"/>
    <w:rsid w:val="00F36FF7"/>
    <w:rsid w:val="00F70BC2"/>
    <w:rsid w:val="00F72F12"/>
    <w:rsid w:val="00F738EA"/>
    <w:rsid w:val="00FA706B"/>
    <w:rsid w:val="00FC3B2A"/>
    <w:rsid w:val="00FC549A"/>
    <w:rsid w:val="00FE2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509"/>
    <w:pPr>
      <w:spacing w:after="200" w:line="276" w:lineRule="auto"/>
    </w:pPr>
    <w:rPr>
      <w:rFonts w:cs="Calibri"/>
      <w:sz w:val="22"/>
      <w:szCs w:val="22"/>
      <w:lang w:eastAsia="en-US"/>
    </w:rPr>
  </w:style>
  <w:style w:type="paragraph" w:styleId="Heading1">
    <w:name w:val="heading 1"/>
    <w:basedOn w:val="Normal"/>
    <w:next w:val="Normal"/>
    <w:link w:val="Heading1Char"/>
    <w:uiPriority w:val="9"/>
    <w:qFormat/>
    <w:rsid w:val="005334CD"/>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94509"/>
    <w:pPr>
      <w:ind w:left="720"/>
    </w:pPr>
  </w:style>
  <w:style w:type="paragraph" w:customStyle="1" w:styleId="Default">
    <w:name w:val="Default"/>
    <w:rsid w:val="00794509"/>
    <w:pPr>
      <w:autoSpaceDE w:val="0"/>
      <w:autoSpaceDN w:val="0"/>
      <w:adjustRightInd w:val="0"/>
    </w:pPr>
    <w:rPr>
      <w:color w:val="000000"/>
      <w:sz w:val="24"/>
      <w:szCs w:val="24"/>
      <w:lang w:val="en-US" w:eastAsia="en-US"/>
    </w:rPr>
  </w:style>
  <w:style w:type="paragraph" w:styleId="Subtitle">
    <w:name w:val="Subtitle"/>
    <w:basedOn w:val="Normal"/>
    <w:next w:val="Normal"/>
    <w:link w:val="SubtitleChar"/>
    <w:uiPriority w:val="99"/>
    <w:qFormat/>
    <w:rsid w:val="00794509"/>
    <w:pPr>
      <w:spacing w:after="60"/>
      <w:jc w:val="center"/>
      <w:outlineLvl w:val="1"/>
    </w:pPr>
    <w:rPr>
      <w:rFonts w:eastAsia="Times New Roman"/>
      <w:b/>
      <w:bCs/>
      <w:sz w:val="28"/>
      <w:szCs w:val="28"/>
    </w:rPr>
  </w:style>
  <w:style w:type="character" w:customStyle="1" w:styleId="SubtitleChar">
    <w:name w:val="Subtitle Char"/>
    <w:link w:val="Subtitle"/>
    <w:uiPriority w:val="99"/>
    <w:rsid w:val="00794509"/>
    <w:rPr>
      <w:rFonts w:ascii="Calibri" w:hAnsi="Calibri" w:cs="Calibri"/>
      <w:b/>
      <w:bCs/>
      <w:sz w:val="24"/>
      <w:szCs w:val="24"/>
      <w:lang w:val="en-GB"/>
    </w:rPr>
  </w:style>
  <w:style w:type="paragraph" w:styleId="Header">
    <w:name w:val="header"/>
    <w:basedOn w:val="Normal"/>
    <w:link w:val="HeaderChar"/>
    <w:uiPriority w:val="99"/>
    <w:rsid w:val="00794509"/>
    <w:pPr>
      <w:tabs>
        <w:tab w:val="center" w:pos="4680"/>
        <w:tab w:val="right" w:pos="9360"/>
      </w:tabs>
      <w:spacing w:after="0" w:line="240" w:lineRule="auto"/>
    </w:pPr>
  </w:style>
  <w:style w:type="character" w:customStyle="1" w:styleId="HeaderChar">
    <w:name w:val="Header Char"/>
    <w:link w:val="Header"/>
    <w:uiPriority w:val="99"/>
    <w:rsid w:val="00794509"/>
    <w:rPr>
      <w:rFonts w:ascii="Calibri" w:eastAsia="Times New Roman" w:hAnsi="Calibri" w:cs="Calibri"/>
      <w:lang w:val="en-GB"/>
    </w:rPr>
  </w:style>
  <w:style w:type="paragraph" w:styleId="Footer">
    <w:name w:val="footer"/>
    <w:basedOn w:val="Normal"/>
    <w:link w:val="FooterChar"/>
    <w:uiPriority w:val="99"/>
    <w:rsid w:val="00794509"/>
    <w:pPr>
      <w:tabs>
        <w:tab w:val="center" w:pos="4680"/>
        <w:tab w:val="right" w:pos="9360"/>
      </w:tabs>
      <w:spacing w:after="0" w:line="240" w:lineRule="auto"/>
    </w:pPr>
  </w:style>
  <w:style w:type="character" w:customStyle="1" w:styleId="FooterChar">
    <w:name w:val="Footer Char"/>
    <w:link w:val="Footer"/>
    <w:uiPriority w:val="99"/>
    <w:rsid w:val="00794509"/>
    <w:rPr>
      <w:rFonts w:ascii="Calibri" w:eastAsia="Times New Roman" w:hAnsi="Calibri" w:cs="Calibri"/>
      <w:lang w:val="en-GB"/>
    </w:rPr>
  </w:style>
  <w:style w:type="paragraph" w:styleId="BalloonText">
    <w:name w:val="Balloon Text"/>
    <w:basedOn w:val="Normal"/>
    <w:link w:val="BalloonTextChar"/>
    <w:uiPriority w:val="99"/>
    <w:semiHidden/>
    <w:rsid w:val="0058603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6034"/>
    <w:rPr>
      <w:rFonts w:ascii="Tahoma" w:eastAsia="Times New Roman" w:hAnsi="Tahoma" w:cs="Tahoma"/>
      <w:sz w:val="16"/>
      <w:szCs w:val="16"/>
      <w:lang w:val="en-GB"/>
    </w:rPr>
  </w:style>
  <w:style w:type="character" w:customStyle="1" w:styleId="Heading1Char">
    <w:name w:val="Heading 1 Char"/>
    <w:link w:val="Heading1"/>
    <w:uiPriority w:val="9"/>
    <w:rsid w:val="005334CD"/>
    <w:rPr>
      <w:rFonts w:ascii="Cambria" w:eastAsia="Times New Roman" w:hAnsi="Cambria" w:cs="Times New Roman"/>
      <w:b/>
      <w:bCs/>
      <w:kern w:val="32"/>
      <w:sz w:val="32"/>
      <w:szCs w:val="32"/>
      <w:lang w:val="en-GB"/>
    </w:rPr>
  </w:style>
  <w:style w:type="table" w:styleId="TableGrid">
    <w:name w:val="Table Grid"/>
    <w:basedOn w:val="TableNormal"/>
    <w:uiPriority w:val="59"/>
    <w:rsid w:val="005334CD"/>
    <w:rPr>
      <w:rFonts w:cs="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6E58EC"/>
    <w:pPr>
      <w:spacing w:after="0" w:line="240" w:lineRule="atLeast"/>
      <w:ind w:firstLine="640"/>
      <w:jc w:val="both"/>
    </w:pPr>
    <w:rPr>
      <w:rFonts w:ascii="Times New Roman" w:eastAsia="Times New Roman" w:hAnsi="Times New Roman" w:cs="Times New Roman"/>
      <w:color w:val="000000"/>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509"/>
    <w:pPr>
      <w:spacing w:after="200" w:line="276" w:lineRule="auto"/>
    </w:pPr>
    <w:rPr>
      <w:rFonts w:cs="Calibri"/>
      <w:sz w:val="22"/>
      <w:szCs w:val="22"/>
      <w:lang w:eastAsia="en-US"/>
    </w:rPr>
  </w:style>
  <w:style w:type="paragraph" w:styleId="Heading1">
    <w:name w:val="heading 1"/>
    <w:basedOn w:val="Normal"/>
    <w:next w:val="Normal"/>
    <w:link w:val="Heading1Char"/>
    <w:uiPriority w:val="9"/>
    <w:qFormat/>
    <w:rsid w:val="005334CD"/>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94509"/>
    <w:pPr>
      <w:ind w:left="720"/>
    </w:pPr>
  </w:style>
  <w:style w:type="paragraph" w:customStyle="1" w:styleId="Default">
    <w:name w:val="Default"/>
    <w:rsid w:val="00794509"/>
    <w:pPr>
      <w:autoSpaceDE w:val="0"/>
      <w:autoSpaceDN w:val="0"/>
      <w:adjustRightInd w:val="0"/>
    </w:pPr>
    <w:rPr>
      <w:color w:val="000000"/>
      <w:sz w:val="24"/>
      <w:szCs w:val="24"/>
      <w:lang w:val="en-US" w:eastAsia="en-US"/>
    </w:rPr>
  </w:style>
  <w:style w:type="paragraph" w:styleId="Subtitle">
    <w:name w:val="Subtitle"/>
    <w:basedOn w:val="Normal"/>
    <w:next w:val="Normal"/>
    <w:link w:val="SubtitleChar"/>
    <w:uiPriority w:val="99"/>
    <w:qFormat/>
    <w:rsid w:val="00794509"/>
    <w:pPr>
      <w:spacing w:after="60"/>
      <w:jc w:val="center"/>
      <w:outlineLvl w:val="1"/>
    </w:pPr>
    <w:rPr>
      <w:rFonts w:eastAsia="Times New Roman"/>
      <w:b/>
      <w:bCs/>
      <w:sz w:val="28"/>
      <w:szCs w:val="28"/>
    </w:rPr>
  </w:style>
  <w:style w:type="character" w:customStyle="1" w:styleId="SubtitleChar">
    <w:name w:val="Subtitle Char"/>
    <w:link w:val="Subtitle"/>
    <w:uiPriority w:val="99"/>
    <w:rsid w:val="00794509"/>
    <w:rPr>
      <w:rFonts w:ascii="Calibri" w:hAnsi="Calibri" w:cs="Calibri"/>
      <w:b/>
      <w:bCs/>
      <w:sz w:val="24"/>
      <w:szCs w:val="24"/>
      <w:lang w:val="en-GB"/>
    </w:rPr>
  </w:style>
  <w:style w:type="paragraph" w:styleId="Header">
    <w:name w:val="header"/>
    <w:basedOn w:val="Normal"/>
    <w:link w:val="HeaderChar"/>
    <w:uiPriority w:val="99"/>
    <w:rsid w:val="00794509"/>
    <w:pPr>
      <w:tabs>
        <w:tab w:val="center" w:pos="4680"/>
        <w:tab w:val="right" w:pos="9360"/>
      </w:tabs>
      <w:spacing w:after="0" w:line="240" w:lineRule="auto"/>
    </w:pPr>
  </w:style>
  <w:style w:type="character" w:customStyle="1" w:styleId="HeaderChar">
    <w:name w:val="Header Char"/>
    <w:link w:val="Header"/>
    <w:uiPriority w:val="99"/>
    <w:rsid w:val="00794509"/>
    <w:rPr>
      <w:rFonts w:ascii="Calibri" w:eastAsia="Times New Roman" w:hAnsi="Calibri" w:cs="Calibri"/>
      <w:lang w:val="en-GB"/>
    </w:rPr>
  </w:style>
  <w:style w:type="paragraph" w:styleId="Footer">
    <w:name w:val="footer"/>
    <w:basedOn w:val="Normal"/>
    <w:link w:val="FooterChar"/>
    <w:uiPriority w:val="99"/>
    <w:rsid w:val="00794509"/>
    <w:pPr>
      <w:tabs>
        <w:tab w:val="center" w:pos="4680"/>
        <w:tab w:val="right" w:pos="9360"/>
      </w:tabs>
      <w:spacing w:after="0" w:line="240" w:lineRule="auto"/>
    </w:pPr>
  </w:style>
  <w:style w:type="character" w:customStyle="1" w:styleId="FooterChar">
    <w:name w:val="Footer Char"/>
    <w:link w:val="Footer"/>
    <w:uiPriority w:val="99"/>
    <w:rsid w:val="00794509"/>
    <w:rPr>
      <w:rFonts w:ascii="Calibri" w:eastAsia="Times New Roman" w:hAnsi="Calibri" w:cs="Calibri"/>
      <w:lang w:val="en-GB"/>
    </w:rPr>
  </w:style>
  <w:style w:type="paragraph" w:styleId="BalloonText">
    <w:name w:val="Balloon Text"/>
    <w:basedOn w:val="Normal"/>
    <w:link w:val="BalloonTextChar"/>
    <w:uiPriority w:val="99"/>
    <w:semiHidden/>
    <w:rsid w:val="0058603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6034"/>
    <w:rPr>
      <w:rFonts w:ascii="Tahoma" w:eastAsia="Times New Roman" w:hAnsi="Tahoma" w:cs="Tahoma"/>
      <w:sz w:val="16"/>
      <w:szCs w:val="16"/>
      <w:lang w:val="en-GB"/>
    </w:rPr>
  </w:style>
  <w:style w:type="character" w:customStyle="1" w:styleId="Heading1Char">
    <w:name w:val="Heading 1 Char"/>
    <w:link w:val="Heading1"/>
    <w:uiPriority w:val="9"/>
    <w:rsid w:val="005334CD"/>
    <w:rPr>
      <w:rFonts w:ascii="Cambria" w:eastAsia="Times New Roman" w:hAnsi="Cambria" w:cs="Times New Roman"/>
      <w:b/>
      <w:bCs/>
      <w:kern w:val="32"/>
      <w:sz w:val="32"/>
      <w:szCs w:val="32"/>
      <w:lang w:val="en-GB"/>
    </w:rPr>
  </w:style>
  <w:style w:type="table" w:styleId="TableGrid">
    <w:name w:val="Table Grid"/>
    <w:basedOn w:val="TableNormal"/>
    <w:uiPriority w:val="59"/>
    <w:rsid w:val="005334CD"/>
    <w:rPr>
      <w:rFonts w:cs="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rsid w:val="006E58EC"/>
    <w:pPr>
      <w:spacing w:after="0" w:line="240" w:lineRule="atLeast"/>
      <w:ind w:firstLine="640"/>
      <w:jc w:val="both"/>
    </w:pPr>
    <w:rPr>
      <w:rFonts w:ascii="Times New Roman" w:eastAsia="Times New Roman" w:hAnsi="Times New Roman" w:cs="Times New Roman"/>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5711">
      <w:bodyDiv w:val="1"/>
      <w:marLeft w:val="0"/>
      <w:marRight w:val="0"/>
      <w:marTop w:val="0"/>
      <w:marBottom w:val="0"/>
      <w:divBdr>
        <w:top w:val="none" w:sz="0" w:space="0" w:color="auto"/>
        <w:left w:val="none" w:sz="0" w:space="0" w:color="auto"/>
        <w:bottom w:val="none" w:sz="0" w:space="0" w:color="auto"/>
        <w:right w:val="none" w:sz="0" w:space="0" w:color="auto"/>
      </w:divBdr>
    </w:div>
    <w:div w:id="143081989">
      <w:bodyDiv w:val="1"/>
      <w:marLeft w:val="0"/>
      <w:marRight w:val="0"/>
      <w:marTop w:val="0"/>
      <w:marBottom w:val="0"/>
      <w:divBdr>
        <w:top w:val="none" w:sz="0" w:space="0" w:color="auto"/>
        <w:left w:val="none" w:sz="0" w:space="0" w:color="auto"/>
        <w:bottom w:val="none" w:sz="0" w:space="0" w:color="auto"/>
        <w:right w:val="none" w:sz="0" w:space="0" w:color="auto"/>
      </w:divBdr>
    </w:div>
    <w:div w:id="1250693916">
      <w:bodyDiv w:val="1"/>
      <w:marLeft w:val="0"/>
      <w:marRight w:val="0"/>
      <w:marTop w:val="0"/>
      <w:marBottom w:val="0"/>
      <w:divBdr>
        <w:top w:val="none" w:sz="0" w:space="0" w:color="auto"/>
        <w:left w:val="none" w:sz="0" w:space="0" w:color="auto"/>
        <w:bottom w:val="none" w:sz="0" w:space="0" w:color="auto"/>
        <w:right w:val="none" w:sz="0" w:space="0" w:color="auto"/>
      </w:divBdr>
    </w:div>
    <w:div w:id="1327514745">
      <w:bodyDiv w:val="1"/>
      <w:marLeft w:val="0"/>
      <w:marRight w:val="0"/>
      <w:marTop w:val="0"/>
      <w:marBottom w:val="0"/>
      <w:divBdr>
        <w:top w:val="none" w:sz="0" w:space="0" w:color="auto"/>
        <w:left w:val="none" w:sz="0" w:space="0" w:color="auto"/>
        <w:bottom w:val="none" w:sz="0" w:space="0" w:color="auto"/>
        <w:right w:val="none" w:sz="0" w:space="0" w:color="auto"/>
      </w:divBdr>
    </w:div>
    <w:div w:id="2050839305">
      <w:bodyDiv w:val="1"/>
      <w:marLeft w:val="0"/>
      <w:marRight w:val="0"/>
      <w:marTop w:val="0"/>
      <w:marBottom w:val="0"/>
      <w:divBdr>
        <w:top w:val="none" w:sz="0" w:space="0" w:color="auto"/>
        <w:left w:val="none" w:sz="0" w:space="0" w:color="auto"/>
        <w:bottom w:val="none" w:sz="0" w:space="0" w:color="auto"/>
        <w:right w:val="none" w:sz="0" w:space="0" w:color="auto"/>
      </w:divBdr>
    </w:div>
    <w:div w:id="205916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471</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МЕТОДИКА ЗА ОЦЕНКА НА ОФЕРТИТЕ</vt:lpstr>
    </vt:vector>
  </TitlesOfParts>
  <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ЗА ОЦЕНКА НА ОФЕРТИТЕ</dc:title>
  <dc:creator>Mariana Yankova</dc:creator>
  <cp:lastModifiedBy>Slavyanka Ivanova</cp:lastModifiedBy>
  <cp:revision>4</cp:revision>
  <dcterms:created xsi:type="dcterms:W3CDTF">2017-01-15T16:14:00Z</dcterms:created>
  <dcterms:modified xsi:type="dcterms:W3CDTF">2017-01-16T12:07:00Z</dcterms:modified>
</cp:coreProperties>
</file>