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3E" w:rsidRPr="009141D2" w:rsidRDefault="00EE3B43" w:rsidP="00794509">
      <w:pPr>
        <w:spacing w:after="120" w:line="240" w:lineRule="auto"/>
        <w:jc w:val="center"/>
        <w:rPr>
          <w:rFonts w:asciiTheme="minorHAnsi" w:eastAsia="Times New Roman" w:hAnsiTheme="minorHAnsi" w:cstheme="minorHAnsi"/>
          <w:bCs/>
          <w:iCs/>
          <w:color w:val="CC114F"/>
          <w:sz w:val="36"/>
          <w:szCs w:val="28"/>
        </w:rPr>
      </w:pPr>
      <w:r w:rsidRPr="009141D2">
        <w:rPr>
          <w:rFonts w:asciiTheme="minorHAnsi" w:eastAsia="Times New Roman" w:hAnsiTheme="minorHAnsi" w:cstheme="minorHAnsi"/>
          <w:bCs/>
          <w:iCs/>
          <w:color w:val="CC114F"/>
          <w:sz w:val="36"/>
          <w:szCs w:val="28"/>
        </w:rPr>
        <w:t>МЕТОДИКА ЗА ОЦЕНКА НА ОФЕРТИТЕ</w:t>
      </w:r>
    </w:p>
    <w:p w:rsidR="0005033E" w:rsidRPr="009141D2" w:rsidRDefault="00EE3B43" w:rsidP="005334CD">
      <w:pPr>
        <w:pStyle w:val="Subtitle"/>
        <w:spacing w:after="120" w:line="240" w:lineRule="auto"/>
        <w:rPr>
          <w:rFonts w:asciiTheme="minorHAnsi" w:hAnsiTheme="minorHAnsi" w:cstheme="minorHAnsi"/>
          <w:b w:val="0"/>
          <w:iCs/>
          <w:color w:val="CC114F"/>
          <w:sz w:val="36"/>
        </w:rPr>
      </w:pPr>
      <w:r w:rsidRPr="009141D2">
        <w:rPr>
          <w:rFonts w:asciiTheme="minorHAnsi" w:hAnsiTheme="minorHAnsi" w:cstheme="minorHAnsi"/>
          <w:b w:val="0"/>
          <w:iCs/>
          <w:color w:val="CC114F"/>
          <w:sz w:val="36"/>
          <w:lang w:val="bg-BG"/>
        </w:rPr>
        <w:t>по процедура за избор на подизпълнител по проект</w:t>
      </w:r>
      <w:r w:rsidR="002270BB" w:rsidRPr="009141D2">
        <w:rPr>
          <w:rFonts w:asciiTheme="minorHAnsi" w:hAnsiTheme="minorHAnsi" w:cstheme="minorHAnsi"/>
          <w:b w:val="0"/>
          <w:iCs/>
          <w:color w:val="CC114F"/>
          <w:sz w:val="36"/>
        </w:rPr>
        <w:t xml:space="preserve"> </w:t>
      </w:r>
      <w:bookmarkStart w:id="0" w:name="_Toc462148493"/>
      <w:bookmarkStart w:id="1" w:name="_Toc462157700"/>
      <w:bookmarkStart w:id="2" w:name="_GoBack"/>
      <w:r w:rsidR="005334CD" w:rsidRPr="009141D2">
        <w:rPr>
          <w:rFonts w:asciiTheme="minorHAnsi" w:hAnsiTheme="minorHAnsi" w:cstheme="minorHAnsi"/>
          <w:b w:val="0"/>
          <w:iCs/>
          <w:color w:val="CC114F"/>
          <w:sz w:val="36"/>
        </w:rPr>
        <w:t>www.surfandsound.eu</w:t>
      </w:r>
      <w:r w:rsidR="005334CD" w:rsidRPr="009141D2">
        <w:rPr>
          <w:rFonts w:asciiTheme="minorHAnsi" w:hAnsiTheme="minorHAnsi" w:cstheme="minorHAnsi"/>
          <w:b w:val="0"/>
          <w:iCs/>
          <w:color w:val="CC114F"/>
          <w:sz w:val="36"/>
        </w:rPr>
        <w:br/>
      </w:r>
      <w:bookmarkEnd w:id="0"/>
      <w:bookmarkEnd w:id="1"/>
      <w:proofErr w:type="spellStart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>Подобряване</w:t>
      </w:r>
      <w:proofErr w:type="spellEnd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 xml:space="preserve"> и </w:t>
      </w:r>
      <w:proofErr w:type="spellStart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>споделяне</w:t>
      </w:r>
      <w:proofErr w:type="spellEnd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 xml:space="preserve"> на </w:t>
      </w:r>
      <w:proofErr w:type="spellStart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>знанието</w:t>
      </w:r>
      <w:proofErr w:type="spellEnd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 xml:space="preserve"> за </w:t>
      </w:r>
      <w:proofErr w:type="spellStart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>ролята</w:t>
      </w:r>
      <w:proofErr w:type="spellEnd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 xml:space="preserve"> на </w:t>
      </w:r>
      <w:proofErr w:type="spellStart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>Интернет</w:t>
      </w:r>
      <w:proofErr w:type="spellEnd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 xml:space="preserve"> в </w:t>
      </w:r>
      <w:proofErr w:type="spellStart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>процеса</w:t>
      </w:r>
      <w:proofErr w:type="spellEnd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 xml:space="preserve"> на </w:t>
      </w:r>
      <w:proofErr w:type="spellStart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>трафика</w:t>
      </w:r>
      <w:proofErr w:type="spellEnd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 xml:space="preserve"> на </w:t>
      </w:r>
      <w:proofErr w:type="spellStart"/>
      <w:r w:rsidRPr="009141D2">
        <w:rPr>
          <w:rFonts w:asciiTheme="minorHAnsi" w:hAnsiTheme="minorHAnsi" w:cstheme="minorHAnsi"/>
          <w:b w:val="0"/>
          <w:iCs/>
          <w:color w:val="CC114F"/>
          <w:sz w:val="36"/>
        </w:rPr>
        <w:t>хора</w:t>
      </w:r>
      <w:bookmarkEnd w:id="2"/>
      <w:proofErr w:type="spellEnd"/>
    </w:p>
    <w:p w:rsidR="0005033E" w:rsidRPr="009141D2" w:rsidRDefault="0005033E" w:rsidP="00794509">
      <w:pPr>
        <w:pStyle w:val="Default"/>
        <w:rPr>
          <w:rFonts w:asciiTheme="minorHAnsi" w:hAnsiTheme="minorHAnsi" w:cstheme="minorHAnsi"/>
          <w:sz w:val="23"/>
          <w:szCs w:val="23"/>
          <w:lang w:val="en-GB"/>
        </w:rPr>
      </w:pPr>
    </w:p>
    <w:p w:rsidR="0005033E" w:rsidRPr="009141D2" w:rsidRDefault="00EE3B43" w:rsidP="009141D2">
      <w:pPr>
        <w:pStyle w:val="Default"/>
        <w:spacing w:before="120"/>
        <w:ind w:firstLine="720"/>
        <w:jc w:val="both"/>
        <w:rPr>
          <w:rFonts w:asciiTheme="minorHAnsi" w:hAnsiTheme="minorHAnsi" w:cstheme="minorHAnsi"/>
        </w:rPr>
      </w:pPr>
      <w:r w:rsidRPr="009141D2">
        <w:rPr>
          <w:rFonts w:asciiTheme="minorHAnsi" w:hAnsiTheme="minorHAnsi" w:cstheme="minorHAnsi"/>
          <w:lang w:val="bg-BG"/>
        </w:rPr>
        <w:t xml:space="preserve">Критерий за оценка на офертите е </w:t>
      </w:r>
      <w:r w:rsidRPr="009141D2">
        <w:rPr>
          <w:rFonts w:asciiTheme="minorHAnsi" w:hAnsiTheme="minorHAnsi" w:cstheme="minorHAnsi"/>
          <w:b/>
          <w:bCs/>
          <w:lang w:val="bg-BG"/>
        </w:rPr>
        <w:t>“Икономически най-изгодна оферта”</w:t>
      </w:r>
      <w:r w:rsidRPr="009141D2">
        <w:rPr>
          <w:rFonts w:asciiTheme="minorHAnsi" w:hAnsiTheme="minorHAnsi" w:cstheme="minorHAnsi"/>
          <w:lang w:val="bg-BG"/>
        </w:rPr>
        <w:t xml:space="preserve">. Класирането на допуснатите до участие оферти се извършва на база получената от всяка оферта </w:t>
      </w:r>
      <w:r w:rsidRPr="009141D2">
        <w:rPr>
          <w:rFonts w:asciiTheme="minorHAnsi" w:hAnsiTheme="minorHAnsi" w:cstheme="minorHAnsi"/>
          <w:b/>
          <w:bCs/>
          <w:lang w:val="bg-BG"/>
        </w:rPr>
        <w:t>“Комплексна оценка” (КО)</w:t>
      </w:r>
      <w:r w:rsidRPr="009141D2">
        <w:rPr>
          <w:rFonts w:asciiTheme="minorHAnsi" w:hAnsiTheme="minorHAnsi" w:cstheme="minorHAnsi"/>
          <w:lang w:val="bg-BG"/>
        </w:rPr>
        <w:t>, като сума от индивидуалните оценки по предварително определените по-долу показатели. До оценка се допускат всички кандидати, които отговарят на всички изисквания за икономически, финансови и технически възможности. В настоящата “Методиката за оценка на офертите” са конкретизирани и точно определени отделните показатели и съответните им относителни тегла в комплексната оценка.</w:t>
      </w:r>
    </w:p>
    <w:p w:rsidR="0005033E" w:rsidRPr="009141D2" w:rsidRDefault="0005033E" w:rsidP="00794509">
      <w:pPr>
        <w:spacing w:before="120" w:after="0" w:line="240" w:lineRule="auto"/>
        <w:ind w:firstLine="3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EE3B43" w:rsidRPr="009141D2" w:rsidRDefault="00EE3B43" w:rsidP="00EE3B43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Всяка оферта ще бъде оценявана на базата на комплексна оценка, която се изчислява по еднакъв начин за всички постъпили оферти. Комплексната оценка се формира, както следва:</w:t>
      </w:r>
    </w:p>
    <w:p w:rsidR="00EE3B43" w:rsidRPr="009141D2" w:rsidRDefault="00EE3B43" w:rsidP="00EE3B43">
      <w:pPr>
        <w:pStyle w:val="ListParagraph"/>
        <w:spacing w:after="120" w:line="240" w:lineRule="auto"/>
        <w:ind w:left="0"/>
        <w:jc w:val="center"/>
        <w:rPr>
          <w:rFonts w:asciiTheme="minorHAnsi" w:hAnsiTheme="minorHAnsi" w:cstheme="minorHAnsi"/>
          <w:i/>
          <w:sz w:val="24"/>
          <w:szCs w:val="24"/>
          <w:vertAlign w:val="subscript"/>
          <w:lang w:val="bg-BG"/>
        </w:rPr>
      </w:pPr>
      <w:r w:rsidRPr="009141D2">
        <w:rPr>
          <w:rFonts w:asciiTheme="minorHAnsi" w:hAnsiTheme="minorHAnsi" w:cstheme="minorHAnsi"/>
          <w:i/>
          <w:sz w:val="24"/>
          <w:szCs w:val="24"/>
          <w:lang w:val="bg-BG"/>
        </w:rPr>
        <w:t>КО = О</w:t>
      </w:r>
      <w:r w:rsidRPr="009141D2">
        <w:rPr>
          <w:rFonts w:asciiTheme="minorHAnsi" w:hAnsiTheme="minorHAnsi" w:cstheme="minorHAnsi"/>
          <w:i/>
          <w:sz w:val="24"/>
          <w:szCs w:val="24"/>
          <w:vertAlign w:val="subscript"/>
          <w:lang w:val="bg-BG"/>
        </w:rPr>
        <w:t xml:space="preserve">Т </w:t>
      </w:r>
      <w:r w:rsidRPr="009141D2">
        <w:rPr>
          <w:rFonts w:asciiTheme="minorHAnsi" w:hAnsiTheme="minorHAnsi" w:cstheme="minorHAnsi"/>
          <w:i/>
          <w:sz w:val="24"/>
          <w:szCs w:val="24"/>
          <w:lang w:val="bg-BG"/>
        </w:rPr>
        <w:t>+ О</w:t>
      </w:r>
      <w:r w:rsidRPr="009141D2">
        <w:rPr>
          <w:rFonts w:asciiTheme="minorHAnsi" w:hAnsiTheme="minorHAnsi" w:cstheme="minorHAnsi"/>
          <w:i/>
          <w:sz w:val="24"/>
          <w:szCs w:val="24"/>
          <w:vertAlign w:val="subscript"/>
          <w:lang w:val="bg-BG"/>
        </w:rPr>
        <w:t>Ц,</w:t>
      </w:r>
    </w:p>
    <w:p w:rsidR="00EE3B43" w:rsidRPr="009141D2" w:rsidRDefault="006C7DBB" w:rsidP="00EE3B43">
      <w:pPr>
        <w:pStyle w:val="ListParagraph"/>
        <w:tabs>
          <w:tab w:val="left" w:pos="2268"/>
        </w:tabs>
        <w:spacing w:after="120" w:line="240" w:lineRule="auto"/>
        <w:ind w:left="0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Където</w:t>
      </w:r>
    </w:p>
    <w:p w:rsidR="00EE3B43" w:rsidRPr="009141D2" w:rsidRDefault="00EE3B43" w:rsidP="00EE3B43">
      <w:pPr>
        <w:pStyle w:val="ListParagraph"/>
        <w:tabs>
          <w:tab w:val="left" w:pos="2268"/>
        </w:tabs>
        <w:spacing w:after="120" w:line="240" w:lineRule="auto"/>
        <w:ind w:left="0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КО – комплексна оценка</w:t>
      </w:r>
    </w:p>
    <w:p w:rsidR="00EE3B43" w:rsidRPr="009141D2" w:rsidRDefault="00EE3B43" w:rsidP="00EE3B43">
      <w:pPr>
        <w:pStyle w:val="ListParagraph"/>
        <w:tabs>
          <w:tab w:val="left" w:pos="2268"/>
        </w:tabs>
        <w:spacing w:after="120" w:line="240" w:lineRule="auto"/>
        <w:ind w:left="0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i/>
          <w:sz w:val="24"/>
          <w:szCs w:val="24"/>
          <w:lang w:val="bg-BG"/>
        </w:rPr>
        <w:t>О</w:t>
      </w:r>
      <w:r w:rsidRPr="009141D2">
        <w:rPr>
          <w:rFonts w:asciiTheme="minorHAnsi" w:hAnsiTheme="minorHAnsi" w:cstheme="minorHAnsi"/>
          <w:i/>
          <w:sz w:val="24"/>
          <w:szCs w:val="24"/>
          <w:vertAlign w:val="subscript"/>
          <w:lang w:val="bg-BG"/>
        </w:rPr>
        <w:t xml:space="preserve">Т 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>– оценка на техническата оферта</w:t>
      </w:r>
    </w:p>
    <w:p w:rsidR="00EE3B43" w:rsidRPr="009141D2" w:rsidRDefault="00EE3B43" w:rsidP="00EE3B43">
      <w:pPr>
        <w:pStyle w:val="ListParagraph"/>
        <w:tabs>
          <w:tab w:val="left" w:pos="2268"/>
        </w:tabs>
        <w:spacing w:after="120" w:line="240" w:lineRule="auto"/>
        <w:ind w:left="0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i/>
          <w:sz w:val="24"/>
          <w:szCs w:val="24"/>
          <w:lang w:val="bg-BG"/>
        </w:rPr>
        <w:t>О</w:t>
      </w:r>
      <w:r w:rsidRPr="009141D2">
        <w:rPr>
          <w:rFonts w:asciiTheme="minorHAnsi" w:hAnsiTheme="minorHAnsi" w:cstheme="minorHAnsi"/>
          <w:i/>
          <w:sz w:val="24"/>
          <w:szCs w:val="24"/>
          <w:vertAlign w:val="subscript"/>
          <w:lang w:val="bg-BG"/>
        </w:rPr>
        <w:t xml:space="preserve">Ц 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>– оценка на ценовата оферта</w:t>
      </w:r>
    </w:p>
    <w:p w:rsidR="0005033E" w:rsidRPr="009141D2" w:rsidRDefault="0005033E" w:rsidP="00794509">
      <w:pPr>
        <w:pStyle w:val="ListParagraph"/>
        <w:tabs>
          <w:tab w:val="left" w:pos="2268"/>
        </w:tabs>
        <w:spacing w:after="120" w:line="240" w:lineRule="auto"/>
        <w:ind w:left="0"/>
        <w:rPr>
          <w:rFonts w:asciiTheme="minorHAnsi" w:hAnsiTheme="minorHAnsi" w:cstheme="minorHAnsi"/>
          <w:sz w:val="24"/>
          <w:szCs w:val="24"/>
        </w:rPr>
      </w:pPr>
    </w:p>
    <w:p w:rsidR="0005033E" w:rsidRPr="009141D2" w:rsidRDefault="00EE3B43" w:rsidP="0079450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 xml:space="preserve">Офертата с най-ниска предложена цена получава максимална оценка от </w:t>
      </w:r>
      <w:r w:rsidR="00EC65EE" w:rsidRPr="009141D2">
        <w:rPr>
          <w:rFonts w:asciiTheme="minorHAnsi" w:hAnsiTheme="minorHAnsi" w:cstheme="minorHAnsi"/>
          <w:sz w:val="24"/>
          <w:szCs w:val="24"/>
        </w:rPr>
        <w:t>7</w:t>
      </w:r>
      <w:r w:rsidR="0005033E" w:rsidRPr="009141D2">
        <w:rPr>
          <w:rFonts w:asciiTheme="minorHAnsi" w:hAnsiTheme="minorHAnsi" w:cstheme="minorHAnsi"/>
          <w:sz w:val="24"/>
          <w:szCs w:val="24"/>
        </w:rPr>
        <w:t xml:space="preserve">0 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>точки</w:t>
      </w:r>
      <w:r w:rsidR="0005033E" w:rsidRPr="009141D2">
        <w:rPr>
          <w:rFonts w:asciiTheme="minorHAnsi" w:hAnsiTheme="minorHAnsi" w:cstheme="minorHAnsi"/>
          <w:sz w:val="24"/>
          <w:szCs w:val="24"/>
        </w:rPr>
        <w:t xml:space="preserve">. 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>Оценката на ценовата оферта се формира по формулата</w:t>
      </w:r>
    </w:p>
    <w:tbl>
      <w:tblPr>
        <w:tblW w:w="0" w:type="auto"/>
        <w:jc w:val="center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621"/>
        <w:gridCol w:w="699"/>
        <w:gridCol w:w="1990"/>
      </w:tblGrid>
      <w:tr w:rsidR="0005033E" w:rsidRPr="009141D2">
        <w:trPr>
          <w:jc w:val="center"/>
        </w:trPr>
        <w:tc>
          <w:tcPr>
            <w:tcW w:w="1621" w:type="dxa"/>
            <w:vMerge w:val="restart"/>
            <w:vAlign w:val="center"/>
          </w:tcPr>
          <w:p w:rsidR="0005033E" w:rsidRPr="009141D2" w:rsidRDefault="00EE3B43" w:rsidP="00DF37D4">
            <w:pPr>
              <w:pStyle w:val="ListParagraph"/>
              <w:spacing w:after="120" w:line="240" w:lineRule="auto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9141D2">
              <w:rPr>
                <w:rFonts w:asciiTheme="minorHAnsi" w:hAnsiTheme="minorHAnsi" w:cstheme="minorHAnsi"/>
                <w:sz w:val="24"/>
                <w:szCs w:val="24"/>
                <w:lang w:val="bg-BG"/>
              </w:rPr>
              <w:t>О</w:t>
            </w:r>
            <w:r w:rsidRPr="009141D2">
              <w:rPr>
                <w:rFonts w:asciiTheme="minorHAnsi" w:hAnsiTheme="minorHAnsi" w:cstheme="minorHAnsi"/>
                <w:sz w:val="24"/>
                <w:szCs w:val="24"/>
                <w:vertAlign w:val="subscript"/>
                <w:lang w:val="bg-BG"/>
              </w:rPr>
              <w:t>Цn</w:t>
            </w:r>
            <w:r w:rsidR="0005033E" w:rsidRPr="009141D2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 xml:space="preserve"> </w:t>
            </w:r>
            <w:r w:rsidR="00EC65EE" w:rsidRPr="009141D2">
              <w:rPr>
                <w:rFonts w:asciiTheme="minorHAnsi" w:hAnsiTheme="minorHAnsi" w:cstheme="minorHAnsi"/>
                <w:sz w:val="24"/>
                <w:szCs w:val="24"/>
              </w:rPr>
              <w:t>=7</w:t>
            </w:r>
            <w:r w:rsidR="0005033E" w:rsidRPr="009141D2">
              <w:rPr>
                <w:rFonts w:asciiTheme="minorHAnsi" w:hAnsiTheme="minorHAnsi" w:cstheme="minorHAnsi"/>
                <w:sz w:val="24"/>
                <w:szCs w:val="24"/>
              </w:rPr>
              <w:t>0 х (</w:t>
            </w:r>
          </w:p>
        </w:tc>
        <w:tc>
          <w:tcPr>
            <w:tcW w:w="699" w:type="dxa"/>
            <w:tcBorders>
              <w:bottom w:val="single" w:sz="2" w:space="0" w:color="A6A6A6"/>
            </w:tcBorders>
            <w:vAlign w:val="center"/>
          </w:tcPr>
          <w:p w:rsidR="0005033E" w:rsidRPr="009141D2" w:rsidRDefault="00EE3B43" w:rsidP="00DF37D4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41D2">
              <w:rPr>
                <w:rFonts w:asciiTheme="minorHAnsi" w:hAnsiTheme="minorHAnsi" w:cstheme="minorHAnsi"/>
                <w:sz w:val="24"/>
                <w:szCs w:val="24"/>
                <w:lang w:val="bg-BG"/>
              </w:rPr>
              <w:t>Ц</w:t>
            </w:r>
            <w:r w:rsidRPr="009141D2">
              <w:rPr>
                <w:rFonts w:asciiTheme="minorHAnsi" w:hAnsiTheme="minorHAnsi" w:cstheme="minorHAnsi"/>
                <w:sz w:val="24"/>
                <w:szCs w:val="24"/>
                <w:vertAlign w:val="subscript"/>
                <w:lang w:val="bg-BG"/>
              </w:rPr>
              <w:t>min</w:t>
            </w:r>
          </w:p>
        </w:tc>
        <w:tc>
          <w:tcPr>
            <w:tcW w:w="1990" w:type="dxa"/>
            <w:vMerge w:val="restart"/>
            <w:vAlign w:val="center"/>
          </w:tcPr>
          <w:p w:rsidR="0005033E" w:rsidRPr="009141D2" w:rsidRDefault="0005033E" w:rsidP="00DF37D4">
            <w:pPr>
              <w:pStyle w:val="ListParagraph"/>
              <w:spacing w:after="12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41D2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05033E" w:rsidRPr="009141D2">
        <w:trPr>
          <w:jc w:val="center"/>
        </w:trPr>
        <w:tc>
          <w:tcPr>
            <w:tcW w:w="1621" w:type="dxa"/>
            <w:vMerge/>
          </w:tcPr>
          <w:p w:rsidR="0005033E" w:rsidRPr="009141D2" w:rsidRDefault="0005033E" w:rsidP="00DF37D4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2" w:space="0" w:color="A6A6A6"/>
            </w:tcBorders>
            <w:vAlign w:val="center"/>
          </w:tcPr>
          <w:p w:rsidR="0005033E" w:rsidRPr="009141D2" w:rsidRDefault="00755A93" w:rsidP="00DF37D4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41D2">
              <w:rPr>
                <w:rFonts w:asciiTheme="minorHAnsi" w:hAnsiTheme="minorHAnsi" w:cstheme="minorHAnsi"/>
                <w:sz w:val="24"/>
                <w:szCs w:val="24"/>
                <w:lang w:val="bg-BG"/>
              </w:rPr>
              <w:t>Ц</w:t>
            </w:r>
            <w:r w:rsidRPr="009141D2">
              <w:rPr>
                <w:rFonts w:asciiTheme="minorHAnsi" w:hAnsiTheme="minorHAnsi" w:cstheme="minorHAnsi"/>
                <w:sz w:val="24"/>
                <w:szCs w:val="24"/>
                <w:vertAlign w:val="subscript"/>
                <w:lang w:val="bg-BG"/>
              </w:rPr>
              <w:t>n</w:t>
            </w:r>
          </w:p>
        </w:tc>
        <w:tc>
          <w:tcPr>
            <w:tcW w:w="1990" w:type="dxa"/>
            <w:vMerge/>
          </w:tcPr>
          <w:p w:rsidR="0005033E" w:rsidRPr="009141D2" w:rsidRDefault="0005033E" w:rsidP="00DF37D4">
            <w:pPr>
              <w:pStyle w:val="ListParagraph"/>
              <w:spacing w:after="12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EE3B43" w:rsidRPr="009141D2" w:rsidRDefault="00EE3B43" w:rsidP="00EE3B43">
      <w:pPr>
        <w:pStyle w:val="ListParagraph"/>
        <w:tabs>
          <w:tab w:val="left" w:pos="2268"/>
        </w:tabs>
        <w:spacing w:after="120" w:line="240" w:lineRule="auto"/>
        <w:ind w:left="0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Където</w:t>
      </w:r>
    </w:p>
    <w:p w:rsidR="00EE3B43" w:rsidRPr="009141D2" w:rsidRDefault="00EE3B43" w:rsidP="00EE3B43">
      <w:pPr>
        <w:pStyle w:val="ListParagraph"/>
        <w:tabs>
          <w:tab w:val="left" w:pos="2268"/>
        </w:tabs>
        <w:spacing w:after="120" w:line="240" w:lineRule="auto"/>
        <w:ind w:left="0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О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bg-BG"/>
        </w:rPr>
        <w:t>Цn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 xml:space="preserve"> – оценка за ценовата оферта за n-та по ред оферта</w:t>
      </w:r>
    </w:p>
    <w:p w:rsidR="00EE3B43" w:rsidRPr="009141D2" w:rsidRDefault="00EE3B43" w:rsidP="00EE3B43">
      <w:pPr>
        <w:pStyle w:val="ListParagraph"/>
        <w:tabs>
          <w:tab w:val="left" w:pos="2268"/>
        </w:tabs>
        <w:spacing w:after="120" w:line="240" w:lineRule="auto"/>
        <w:ind w:left="0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Ц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bg-BG"/>
        </w:rPr>
        <w:t>min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 xml:space="preserve"> – минимална предложена цена измежду всички подадени оферти</w:t>
      </w:r>
    </w:p>
    <w:p w:rsidR="0005033E" w:rsidRPr="009141D2" w:rsidRDefault="00EE3B43" w:rsidP="00EE3B43">
      <w:pPr>
        <w:pStyle w:val="ListParagraph"/>
        <w:tabs>
          <w:tab w:val="left" w:pos="2268"/>
        </w:tabs>
        <w:spacing w:after="12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Ц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bg-BG"/>
        </w:rPr>
        <w:t>n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 xml:space="preserve"> – цена от n-та по ред оферта</w:t>
      </w:r>
    </w:p>
    <w:p w:rsidR="0005033E" w:rsidRPr="009141D2" w:rsidRDefault="0005033E" w:rsidP="00794509">
      <w:pPr>
        <w:pStyle w:val="ListParagraph"/>
        <w:spacing w:after="120" w:line="240" w:lineRule="auto"/>
        <w:ind w:left="0"/>
        <w:rPr>
          <w:rFonts w:asciiTheme="minorHAnsi" w:hAnsiTheme="minorHAnsi" w:cstheme="minorHAnsi"/>
          <w:sz w:val="24"/>
          <w:szCs w:val="24"/>
        </w:rPr>
      </w:pPr>
    </w:p>
    <w:p w:rsidR="0005033E" w:rsidRPr="009141D2" w:rsidRDefault="006C7DBB" w:rsidP="0079450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Оценката на техническата оферта се формира, както следва</w:t>
      </w:r>
      <w:r w:rsidR="0005033E" w:rsidRPr="009141D2">
        <w:rPr>
          <w:rFonts w:asciiTheme="minorHAnsi" w:hAnsiTheme="minorHAnsi" w:cstheme="minorHAnsi"/>
          <w:sz w:val="24"/>
          <w:szCs w:val="24"/>
        </w:rPr>
        <w:t>:</w:t>
      </w:r>
    </w:p>
    <w:p w:rsidR="0005033E" w:rsidRPr="009141D2" w:rsidRDefault="006C7DBB" w:rsidP="006C7DBB">
      <w:pPr>
        <w:pStyle w:val="ListParagraph"/>
        <w:numPr>
          <w:ilvl w:val="1"/>
          <w:numId w:val="2"/>
        </w:numPr>
        <w:spacing w:after="120" w:line="240" w:lineRule="auto"/>
        <w:ind w:left="697" w:hanging="357"/>
        <w:jc w:val="both"/>
        <w:rPr>
          <w:rFonts w:asciiTheme="minorHAnsi" w:hAnsiTheme="minorHAnsi" w:cstheme="minorHAnsi"/>
          <w:sz w:val="24"/>
          <w:szCs w:val="24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lastRenderedPageBreak/>
        <w:t xml:space="preserve">Максималната оценка за техническата оферта е </w:t>
      </w:r>
      <w:r w:rsidR="00E77233">
        <w:rPr>
          <w:rFonts w:asciiTheme="minorHAnsi" w:hAnsiTheme="minorHAnsi" w:cstheme="minorHAnsi"/>
          <w:sz w:val="24"/>
          <w:szCs w:val="24"/>
        </w:rPr>
        <w:t>3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>0 точки и се формира по формулата</w:t>
      </w:r>
      <w:r w:rsidR="00282DF7" w:rsidRPr="009141D2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0" w:type="auto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056"/>
        <w:gridCol w:w="2458"/>
      </w:tblGrid>
      <w:tr w:rsidR="0005033E" w:rsidRPr="009141D2" w:rsidTr="00537988">
        <w:trPr>
          <w:trHeight w:val="215"/>
        </w:trPr>
        <w:tc>
          <w:tcPr>
            <w:tcW w:w="1056" w:type="dxa"/>
            <w:vMerge w:val="restart"/>
            <w:vAlign w:val="center"/>
          </w:tcPr>
          <w:p w:rsidR="0005033E" w:rsidRPr="009141D2" w:rsidRDefault="006C7DBB" w:rsidP="00DF37D4">
            <w:pPr>
              <w:pStyle w:val="ListParagraph"/>
              <w:spacing w:after="120" w:line="240" w:lineRule="auto"/>
              <w:ind w:left="0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9141D2">
              <w:rPr>
                <w:rFonts w:asciiTheme="minorHAnsi" w:hAnsiTheme="minorHAnsi" w:cstheme="minorHAnsi"/>
                <w:sz w:val="24"/>
                <w:szCs w:val="24"/>
                <w:lang w:val="bg-BG"/>
              </w:rPr>
              <w:t>О</w:t>
            </w:r>
            <w:r w:rsidRPr="009141D2">
              <w:rPr>
                <w:rFonts w:asciiTheme="minorHAnsi" w:hAnsiTheme="minorHAnsi" w:cstheme="minorHAnsi"/>
                <w:sz w:val="24"/>
                <w:szCs w:val="24"/>
                <w:vertAlign w:val="subscript"/>
                <w:lang w:val="bg-BG"/>
              </w:rPr>
              <w:t>Т</w:t>
            </w:r>
            <w:r w:rsidRPr="009141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5033E" w:rsidRPr="009141D2">
              <w:rPr>
                <w:rFonts w:asciiTheme="minorHAnsi" w:hAnsiTheme="minorHAnsi" w:cstheme="minorHAnsi"/>
                <w:sz w:val="24"/>
                <w:szCs w:val="24"/>
              </w:rPr>
              <w:t>=</w:t>
            </w:r>
          </w:p>
        </w:tc>
        <w:tc>
          <w:tcPr>
            <w:tcW w:w="2458" w:type="dxa"/>
            <w:tcBorders>
              <w:bottom w:val="single" w:sz="2" w:space="0" w:color="A6A6A6"/>
            </w:tcBorders>
            <w:vAlign w:val="center"/>
          </w:tcPr>
          <w:p w:rsidR="0005033E" w:rsidRPr="009141D2" w:rsidRDefault="00860237" w:rsidP="0004331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141D2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05033E" w:rsidRPr="009141D2">
              <w:rPr>
                <w:rFonts w:asciiTheme="minorHAnsi" w:hAnsiTheme="minorHAnsi" w:cstheme="minorHAnsi"/>
                <w:sz w:val="24"/>
                <w:szCs w:val="24"/>
              </w:rPr>
              <w:t>х</w:t>
            </w:r>
            <w:r w:rsidR="00043319" w:rsidRPr="009141D2">
              <w:rPr>
                <w:rFonts w:asciiTheme="minorHAnsi" w:hAnsiTheme="minorHAnsi" w:cstheme="minorHAnsi"/>
                <w:sz w:val="24"/>
                <w:szCs w:val="24"/>
                <w:lang w:val="bg-BG"/>
              </w:rPr>
              <w:t>О</w:t>
            </w:r>
            <w:r w:rsidR="00043319" w:rsidRPr="009141D2">
              <w:rPr>
                <w:rFonts w:asciiTheme="minorHAnsi" w:hAnsiTheme="minorHAnsi" w:cstheme="minorHAnsi"/>
                <w:sz w:val="24"/>
                <w:szCs w:val="24"/>
                <w:vertAlign w:val="subscript"/>
                <w:lang w:val="en-US"/>
              </w:rPr>
              <w:t>K</w:t>
            </w:r>
            <w:r w:rsidR="0005033E" w:rsidRPr="009141D2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1</w:t>
            </w:r>
            <w:r w:rsidRPr="009141D2">
              <w:rPr>
                <w:rFonts w:asciiTheme="minorHAnsi" w:hAnsiTheme="minorHAnsi" w:cstheme="minorHAnsi"/>
                <w:sz w:val="24"/>
                <w:szCs w:val="24"/>
              </w:rPr>
              <w:t>+10</w:t>
            </w:r>
            <w:r w:rsidR="0005033E" w:rsidRPr="009141D2">
              <w:rPr>
                <w:rFonts w:asciiTheme="minorHAnsi" w:hAnsiTheme="minorHAnsi" w:cstheme="minorHAnsi"/>
                <w:sz w:val="24"/>
                <w:szCs w:val="24"/>
              </w:rPr>
              <w:t>х</w:t>
            </w:r>
            <w:r w:rsidR="005B2899" w:rsidRPr="009141D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043319" w:rsidRPr="009141D2">
              <w:rPr>
                <w:rFonts w:asciiTheme="minorHAnsi" w:hAnsiTheme="minorHAnsi" w:cstheme="minorHAnsi"/>
                <w:sz w:val="24"/>
                <w:szCs w:val="24"/>
                <w:vertAlign w:val="subscript"/>
                <w:lang w:val="en-US"/>
              </w:rPr>
              <w:t>K</w:t>
            </w:r>
            <w:r w:rsidR="0005033E" w:rsidRPr="009141D2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2</w:t>
            </w:r>
            <w:r w:rsidRPr="009141D2">
              <w:rPr>
                <w:rFonts w:asciiTheme="minorHAnsi" w:hAnsiTheme="minorHAnsi" w:cstheme="minorHAnsi"/>
                <w:sz w:val="24"/>
                <w:szCs w:val="24"/>
              </w:rPr>
              <w:t>+10</w:t>
            </w:r>
            <w:r w:rsidR="005B2899" w:rsidRPr="009141D2">
              <w:rPr>
                <w:rFonts w:asciiTheme="minorHAnsi" w:hAnsiTheme="minorHAnsi" w:cstheme="minorHAnsi"/>
                <w:sz w:val="24"/>
                <w:szCs w:val="24"/>
              </w:rPr>
              <w:t>хS</w:t>
            </w:r>
            <w:r w:rsidR="00043319" w:rsidRPr="009141D2">
              <w:rPr>
                <w:rFonts w:asciiTheme="minorHAnsi" w:hAnsiTheme="minorHAnsi" w:cstheme="minorHAnsi"/>
                <w:sz w:val="24"/>
                <w:szCs w:val="24"/>
                <w:vertAlign w:val="subscript"/>
                <w:lang w:val="en-US"/>
              </w:rPr>
              <w:t>K</w:t>
            </w:r>
            <w:r w:rsidR="0005033E" w:rsidRPr="009141D2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3</w:t>
            </w:r>
          </w:p>
        </w:tc>
      </w:tr>
      <w:tr w:rsidR="0005033E" w:rsidRPr="009141D2" w:rsidTr="00537988">
        <w:trPr>
          <w:trHeight w:val="323"/>
        </w:trPr>
        <w:tc>
          <w:tcPr>
            <w:tcW w:w="1056" w:type="dxa"/>
            <w:vMerge/>
          </w:tcPr>
          <w:p w:rsidR="0005033E" w:rsidRPr="009141D2" w:rsidRDefault="0005033E" w:rsidP="00DF37D4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2" w:space="0" w:color="A6A6A6"/>
            </w:tcBorders>
            <w:vAlign w:val="center"/>
          </w:tcPr>
          <w:p w:rsidR="0005033E" w:rsidRPr="009141D2" w:rsidRDefault="0005033E" w:rsidP="00DF37D4">
            <w:pPr>
              <w:pStyle w:val="ListParagraph"/>
              <w:spacing w:after="12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141D2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:rsidR="006C7DBB" w:rsidRPr="009141D2" w:rsidRDefault="006C7DBB" w:rsidP="006C7DBB">
      <w:pPr>
        <w:pStyle w:val="ListParagraph"/>
        <w:tabs>
          <w:tab w:val="left" w:pos="2268"/>
        </w:tabs>
        <w:spacing w:after="120" w:line="240" w:lineRule="auto"/>
        <w:ind w:left="0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Където</w:t>
      </w:r>
    </w:p>
    <w:p w:rsidR="006C7DBB" w:rsidRPr="009141D2" w:rsidRDefault="006C7DBB" w:rsidP="006C7DBB">
      <w:pPr>
        <w:pStyle w:val="ListParagraph"/>
        <w:tabs>
          <w:tab w:val="left" w:pos="2268"/>
        </w:tabs>
        <w:spacing w:after="120" w:line="240" w:lineRule="auto"/>
        <w:ind w:left="0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О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bg-BG"/>
        </w:rPr>
        <w:t xml:space="preserve">Т 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>– цялостна оценка на техническата оферта</w:t>
      </w:r>
    </w:p>
    <w:p w:rsidR="00537988" w:rsidRPr="009141D2" w:rsidRDefault="00043319" w:rsidP="006C7DBB">
      <w:pPr>
        <w:pStyle w:val="ListParagraph"/>
        <w:tabs>
          <w:tab w:val="left" w:pos="2268"/>
        </w:tabs>
        <w:spacing w:after="120" w:line="240" w:lineRule="auto"/>
        <w:ind w:left="0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sz w:val="24"/>
          <w:szCs w:val="24"/>
          <w:lang w:val="en-US"/>
        </w:rPr>
        <w:t>O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K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bg-BG"/>
        </w:rPr>
        <w:t xml:space="preserve">1 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 xml:space="preserve">– оценка по критерий 1 </w:t>
      </w:r>
      <w:r w:rsidR="005B2899" w:rsidRPr="009141D2">
        <w:rPr>
          <w:rFonts w:asciiTheme="minorHAnsi" w:hAnsiTheme="minorHAnsi" w:cstheme="minorHAnsi"/>
          <w:sz w:val="24"/>
          <w:szCs w:val="24"/>
        </w:rPr>
        <w:t>(</w:t>
      </w:r>
      <w:r w:rsidR="00DC0749" w:rsidRPr="009141D2">
        <w:rPr>
          <w:rFonts w:asciiTheme="minorHAnsi" w:hAnsiTheme="minorHAnsi" w:cstheme="minorHAnsi"/>
          <w:b/>
          <w:i/>
          <w:sz w:val="24"/>
          <w:szCs w:val="24"/>
          <w:lang w:val="bg-BG"/>
        </w:rPr>
        <w:t>Опит в извършването на онлайн проучвания</w:t>
      </w:r>
      <w:r w:rsidR="005B2899" w:rsidRPr="009141D2">
        <w:rPr>
          <w:rFonts w:asciiTheme="minorHAnsi" w:hAnsiTheme="minorHAnsi" w:cstheme="minorHAnsi"/>
          <w:sz w:val="24"/>
          <w:szCs w:val="24"/>
        </w:rPr>
        <w:t>)</w:t>
      </w:r>
    </w:p>
    <w:p w:rsidR="00670377" w:rsidRPr="009141D2" w:rsidRDefault="00043319" w:rsidP="00537988">
      <w:pPr>
        <w:pStyle w:val="ListParagraph"/>
        <w:tabs>
          <w:tab w:val="left" w:pos="2268"/>
        </w:tabs>
        <w:spacing w:after="120" w:line="240" w:lineRule="auto"/>
        <w:ind w:left="0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sz w:val="24"/>
          <w:szCs w:val="24"/>
          <w:lang w:val="en-US"/>
        </w:rPr>
        <w:t>O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K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bg-BG"/>
        </w:rPr>
        <w:t xml:space="preserve">2 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 xml:space="preserve">– оценка по критерий </w:t>
      </w:r>
      <w:r w:rsidR="00670377" w:rsidRPr="009141D2">
        <w:rPr>
          <w:rFonts w:asciiTheme="minorHAnsi" w:hAnsiTheme="minorHAnsi" w:cstheme="minorHAnsi"/>
          <w:sz w:val="24"/>
          <w:szCs w:val="24"/>
        </w:rPr>
        <w:t>2 (</w:t>
      </w:r>
      <w:r w:rsidR="00DC0749" w:rsidRPr="009141D2">
        <w:rPr>
          <w:rFonts w:asciiTheme="minorHAnsi" w:hAnsiTheme="minorHAnsi" w:cstheme="minorHAnsi"/>
          <w:b/>
          <w:i/>
          <w:sz w:val="24"/>
          <w:szCs w:val="24"/>
          <w:lang w:val="bg-BG"/>
        </w:rPr>
        <w:t>Метод за подбор на респондентите</w:t>
      </w:r>
      <w:r w:rsidR="00DC0749" w:rsidRPr="009141D2">
        <w:rPr>
          <w:rFonts w:asciiTheme="minorHAnsi" w:hAnsiTheme="minorHAnsi" w:cstheme="minorHAnsi"/>
          <w:sz w:val="24"/>
          <w:szCs w:val="24"/>
        </w:rPr>
        <w:t>)</w:t>
      </w:r>
    </w:p>
    <w:p w:rsidR="00134779" w:rsidRPr="009141D2" w:rsidRDefault="00043319" w:rsidP="00134779">
      <w:pPr>
        <w:pStyle w:val="ListParagraph"/>
        <w:tabs>
          <w:tab w:val="left" w:pos="2268"/>
        </w:tabs>
        <w:spacing w:after="12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141D2">
        <w:rPr>
          <w:rFonts w:asciiTheme="minorHAnsi" w:hAnsiTheme="minorHAnsi" w:cstheme="minorHAnsi"/>
          <w:sz w:val="24"/>
          <w:szCs w:val="24"/>
          <w:lang w:val="en-US"/>
        </w:rPr>
        <w:t>O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K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bg-BG"/>
        </w:rPr>
        <w:t xml:space="preserve">3 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 xml:space="preserve">– оценка по критерий </w:t>
      </w:r>
      <w:r w:rsidR="005B2899" w:rsidRPr="009141D2">
        <w:rPr>
          <w:rFonts w:asciiTheme="minorHAnsi" w:hAnsiTheme="minorHAnsi" w:cstheme="minorHAnsi"/>
          <w:sz w:val="24"/>
          <w:szCs w:val="24"/>
        </w:rPr>
        <w:t>3 (</w:t>
      </w:r>
      <w:proofErr w:type="spellStart"/>
      <w:r w:rsidR="00DC0749" w:rsidRPr="009141D2">
        <w:rPr>
          <w:rFonts w:asciiTheme="minorHAnsi" w:hAnsiTheme="minorHAnsi" w:cstheme="minorHAnsi"/>
          <w:b/>
          <w:i/>
          <w:sz w:val="24"/>
          <w:szCs w:val="24"/>
        </w:rPr>
        <w:t>Процедури</w:t>
      </w:r>
      <w:proofErr w:type="spellEnd"/>
      <w:r w:rsidR="00DC0749" w:rsidRPr="009141D2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proofErr w:type="spellStart"/>
      <w:r w:rsidR="00DC0749" w:rsidRPr="009141D2">
        <w:rPr>
          <w:rFonts w:asciiTheme="minorHAnsi" w:hAnsiTheme="minorHAnsi" w:cstheme="minorHAnsi"/>
          <w:b/>
          <w:i/>
          <w:sz w:val="24"/>
          <w:szCs w:val="24"/>
        </w:rPr>
        <w:t>по</w:t>
      </w:r>
      <w:proofErr w:type="spellEnd"/>
      <w:r w:rsidR="00DC0749" w:rsidRPr="009141D2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proofErr w:type="spellStart"/>
      <w:r w:rsidR="00DC0749" w:rsidRPr="009141D2">
        <w:rPr>
          <w:rFonts w:asciiTheme="minorHAnsi" w:hAnsiTheme="minorHAnsi" w:cstheme="minorHAnsi"/>
          <w:b/>
          <w:i/>
          <w:sz w:val="24"/>
          <w:szCs w:val="24"/>
        </w:rPr>
        <w:t>контрол</w:t>
      </w:r>
      <w:proofErr w:type="spellEnd"/>
      <w:r w:rsidR="00DC0749" w:rsidRPr="009141D2">
        <w:rPr>
          <w:rFonts w:asciiTheme="minorHAnsi" w:hAnsiTheme="minorHAnsi" w:cstheme="minorHAnsi"/>
          <w:b/>
          <w:i/>
          <w:sz w:val="24"/>
          <w:szCs w:val="24"/>
        </w:rPr>
        <w:t xml:space="preserve"> на </w:t>
      </w:r>
      <w:proofErr w:type="spellStart"/>
      <w:r w:rsidR="00DC0749" w:rsidRPr="009141D2">
        <w:rPr>
          <w:rFonts w:asciiTheme="minorHAnsi" w:hAnsiTheme="minorHAnsi" w:cstheme="minorHAnsi"/>
          <w:b/>
          <w:i/>
          <w:sz w:val="24"/>
          <w:szCs w:val="24"/>
        </w:rPr>
        <w:t>качеството</w:t>
      </w:r>
      <w:proofErr w:type="spellEnd"/>
      <w:r w:rsidR="00DC0749" w:rsidRPr="009141D2">
        <w:rPr>
          <w:rFonts w:asciiTheme="minorHAnsi" w:hAnsiTheme="minorHAnsi" w:cstheme="minorHAnsi"/>
          <w:b/>
          <w:i/>
          <w:sz w:val="24"/>
          <w:szCs w:val="24"/>
        </w:rPr>
        <w:t xml:space="preserve"> на </w:t>
      </w:r>
      <w:proofErr w:type="spellStart"/>
      <w:r w:rsidR="00DC0749" w:rsidRPr="009141D2">
        <w:rPr>
          <w:rFonts w:asciiTheme="minorHAnsi" w:hAnsiTheme="minorHAnsi" w:cstheme="minorHAnsi"/>
          <w:b/>
          <w:i/>
          <w:sz w:val="24"/>
          <w:szCs w:val="24"/>
        </w:rPr>
        <w:t>данните</w:t>
      </w:r>
      <w:proofErr w:type="spellEnd"/>
      <w:r w:rsidR="005B2899" w:rsidRPr="009141D2">
        <w:rPr>
          <w:rFonts w:asciiTheme="minorHAnsi" w:hAnsiTheme="minorHAnsi" w:cstheme="minorHAnsi"/>
          <w:sz w:val="24"/>
          <w:szCs w:val="24"/>
        </w:rPr>
        <w:t>)</w:t>
      </w:r>
      <w:r w:rsidR="005B2899" w:rsidRPr="009141D2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537988" w:rsidRPr="009141D2" w:rsidRDefault="00DC0749" w:rsidP="00DC0749">
      <w:pPr>
        <w:pStyle w:val="ListParagraph"/>
        <w:numPr>
          <w:ilvl w:val="1"/>
          <w:numId w:val="2"/>
        </w:numPr>
        <w:spacing w:after="120" w:line="240" w:lineRule="auto"/>
        <w:ind w:left="697" w:hanging="357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За всяка от оценките от O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bg-BG"/>
        </w:rPr>
        <w:t>K1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 xml:space="preserve"> до О</w:t>
      </w:r>
      <w:r w:rsidRPr="009141D2">
        <w:rPr>
          <w:rFonts w:asciiTheme="minorHAnsi" w:hAnsiTheme="minorHAnsi" w:cstheme="minorHAnsi"/>
          <w:sz w:val="24"/>
          <w:szCs w:val="24"/>
          <w:vertAlign w:val="subscript"/>
          <w:lang w:val="bg-BG"/>
        </w:rPr>
        <w:t>К3</w:t>
      </w:r>
      <w:r w:rsidRPr="009141D2">
        <w:rPr>
          <w:rFonts w:asciiTheme="minorHAnsi" w:hAnsiTheme="minorHAnsi" w:cstheme="minorHAnsi"/>
          <w:sz w:val="24"/>
          <w:szCs w:val="24"/>
          <w:lang w:val="bg-BG"/>
        </w:rPr>
        <w:t xml:space="preserve"> се присъжда оценка от 0 (минимум) до 3 (максимум) точки, като критериите за оценяване са, както следва</w:t>
      </w:r>
      <w:r w:rsidR="00537988" w:rsidRPr="009141D2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0" w:type="auto"/>
        <w:tblInd w:w="5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204"/>
        <w:gridCol w:w="2624"/>
        <w:gridCol w:w="2126"/>
        <w:gridCol w:w="2268"/>
        <w:gridCol w:w="1417"/>
      </w:tblGrid>
      <w:tr w:rsidR="00537988" w:rsidRPr="009141D2" w:rsidTr="009141D2">
        <w:tc>
          <w:tcPr>
            <w:tcW w:w="1204" w:type="dxa"/>
            <w:tcBorders>
              <w:top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C114F"/>
          </w:tcPr>
          <w:p w:rsidR="00537988" w:rsidRPr="009141D2" w:rsidRDefault="00236C8C" w:rsidP="00E763AF">
            <w:pPr>
              <w:pStyle w:val="ListParagraph"/>
              <w:spacing w:after="0" w:line="240" w:lineRule="auto"/>
              <w:ind w:left="0"/>
              <w:jc w:val="right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  <w:lang w:val="bg-BG"/>
              </w:rPr>
            </w:pP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  <w:lang w:val="bg-BG"/>
              </w:rPr>
              <w:t>Оценка</w:t>
            </w:r>
          </w:p>
          <w:p w:rsidR="00537988" w:rsidRPr="009141D2" w:rsidRDefault="00236C8C" w:rsidP="00E763AF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  <w:lang w:val="bg-BG"/>
              </w:rPr>
            </w:pP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  <w:lang w:val="bg-BG"/>
              </w:rPr>
              <w:t>Критерий</w:t>
            </w:r>
          </w:p>
        </w:tc>
        <w:tc>
          <w:tcPr>
            <w:tcW w:w="26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C114F"/>
          </w:tcPr>
          <w:p w:rsidR="00537988" w:rsidRPr="009141D2" w:rsidRDefault="00537988" w:rsidP="00E763A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C114F"/>
          </w:tcPr>
          <w:p w:rsidR="00537988" w:rsidRPr="009141D2" w:rsidRDefault="00537988" w:rsidP="00E763A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C114F"/>
          </w:tcPr>
          <w:p w:rsidR="00537988" w:rsidRPr="009141D2" w:rsidRDefault="00537988" w:rsidP="00E763A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</w:tcBorders>
            <w:shd w:val="clear" w:color="auto" w:fill="CC114F"/>
          </w:tcPr>
          <w:p w:rsidR="00537988" w:rsidRPr="009141D2" w:rsidRDefault="00537988" w:rsidP="00E763AF">
            <w:pPr>
              <w:pStyle w:val="ListParagraph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0</w:t>
            </w:r>
          </w:p>
        </w:tc>
      </w:tr>
      <w:tr w:rsidR="00236C8C" w:rsidRPr="009141D2" w:rsidTr="009141D2">
        <w:tc>
          <w:tcPr>
            <w:tcW w:w="1204" w:type="dxa"/>
            <w:tcBorders>
              <w:right w:val="single" w:sz="24" w:space="0" w:color="FFFFFF"/>
            </w:tcBorders>
            <w:shd w:val="clear" w:color="auto" w:fill="CC114F"/>
          </w:tcPr>
          <w:p w:rsidR="00236C8C" w:rsidRPr="009141D2" w:rsidRDefault="00236C8C" w:rsidP="00E763AF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  <w:lang w:val="bg-BG"/>
              </w:rPr>
              <w:t>К</w:t>
            </w: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2624" w:type="dxa"/>
            <w:shd w:val="clear" w:color="auto" w:fill="F2DBDB" w:themeFill="accent2" w:themeFillTint="33"/>
          </w:tcPr>
          <w:p w:rsidR="00236C8C" w:rsidRPr="009141D2" w:rsidRDefault="00236C8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Описани са над 10 сходни проучвания с наименование, период на провеждане, възложител, целева група, използвани методи и обем на извадката</w:t>
            </w:r>
          </w:p>
        </w:tc>
        <w:tc>
          <w:tcPr>
            <w:tcW w:w="2126" w:type="dxa"/>
            <w:shd w:val="clear" w:color="auto" w:fill="F2DBDB" w:themeFill="accent2" w:themeFillTint="33"/>
          </w:tcPr>
          <w:p w:rsidR="00236C8C" w:rsidRPr="009141D2" w:rsidRDefault="00236C8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Описани са от 6 до 10 сходни проучвания с наименование, период на провеждане, възложител, целева група, използвани методи и обем на извадката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236C8C" w:rsidRPr="009141D2" w:rsidRDefault="00236C8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Описани са от 1 до 5 сходни проучвания с наименование, период на провеждане, възложител, целева група, използвани методи и обем на извадката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236C8C" w:rsidRPr="009141D2" w:rsidRDefault="00236C8C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Не е посочена никаква информация или информацията не е достатъчна</w:t>
            </w:r>
          </w:p>
        </w:tc>
      </w:tr>
      <w:tr w:rsidR="00236C8C" w:rsidRPr="009141D2" w:rsidTr="009141D2">
        <w:tc>
          <w:tcPr>
            <w:tcW w:w="1204" w:type="dxa"/>
            <w:tcBorders>
              <w:top w:val="single" w:sz="8" w:space="0" w:color="FFFFFF"/>
              <w:right w:val="single" w:sz="24" w:space="0" w:color="FFFFFF"/>
            </w:tcBorders>
            <w:shd w:val="clear" w:color="auto" w:fill="CC114F"/>
          </w:tcPr>
          <w:p w:rsidR="00236C8C" w:rsidRPr="009141D2" w:rsidRDefault="00236C8C" w:rsidP="005334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  <w:lang w:val="bg-BG"/>
              </w:rPr>
              <w:t>К</w:t>
            </w: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2624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</w:tcPr>
          <w:p w:rsidR="00236C8C" w:rsidRPr="009141D2" w:rsidRDefault="0027005C" w:rsidP="0067131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Подборът на респонденти гарантира включване в проучването само на представители на целевите групи. Методите на подбор са описани в пълни подробности и всички етапи от</w:t>
            </w:r>
            <w:r w:rsidR="00671319"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подбора са недвусмислено ясни.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</w:tcPr>
          <w:p w:rsidR="00236C8C" w:rsidRPr="009141D2" w:rsidRDefault="00671319" w:rsidP="0067131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Споменати са някои аргументи, основни принципи и подробности от методиката, но не всички етапи и процедури са описани ясно и/или причините за избор на методика не са достатъчно обосновани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E5B8B7" w:themeFill="accent2" w:themeFillTint="66"/>
          </w:tcPr>
          <w:p w:rsidR="00236C8C" w:rsidRPr="009141D2" w:rsidRDefault="00671319" w:rsidP="0067131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Изброени са само основни принципи и/или аргументи</w:t>
            </w:r>
            <w:r w:rsidR="00236C8C" w:rsidRPr="009141D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E5B8B7" w:themeFill="accent2" w:themeFillTint="66"/>
          </w:tcPr>
          <w:p w:rsidR="00236C8C" w:rsidRPr="009141D2" w:rsidRDefault="00671319" w:rsidP="00736B31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Не е посочена никаква информация</w:t>
            </w:r>
          </w:p>
        </w:tc>
      </w:tr>
      <w:tr w:rsidR="00236C8C" w:rsidRPr="009141D2" w:rsidTr="009141D2">
        <w:tc>
          <w:tcPr>
            <w:tcW w:w="1204" w:type="dxa"/>
            <w:tcBorders>
              <w:bottom w:val="single" w:sz="8" w:space="0" w:color="FFFFFF"/>
              <w:right w:val="single" w:sz="24" w:space="0" w:color="FFFFFF"/>
            </w:tcBorders>
            <w:shd w:val="clear" w:color="auto" w:fill="CC114F"/>
          </w:tcPr>
          <w:p w:rsidR="00236C8C" w:rsidRPr="009141D2" w:rsidRDefault="00236C8C" w:rsidP="00E763AF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  <w:lang w:val="bg-BG"/>
              </w:rPr>
              <w:t>К</w:t>
            </w:r>
            <w:r w:rsidRPr="009141D2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2624" w:type="dxa"/>
            <w:tcBorders>
              <w:bottom w:val="single" w:sz="8" w:space="0" w:color="FFFFFF"/>
            </w:tcBorders>
            <w:shd w:val="clear" w:color="auto" w:fill="F2DBDB" w:themeFill="accent2" w:themeFillTint="33"/>
          </w:tcPr>
          <w:p w:rsidR="00236C8C" w:rsidRPr="009141D2" w:rsidRDefault="007B060B" w:rsidP="007B060B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Процедурите за контрол на данните</w:t>
            </w:r>
            <w:r w:rsidR="00236C8C" w:rsidRPr="009141D2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отстраняване на идентични въпросници</w:t>
            </w:r>
            <w:r w:rsidR="00236C8C" w:rsidRPr="009141D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ограничения за въпросници от даден</w:t>
            </w:r>
            <w:r w:rsidR="00236C8C" w:rsidRPr="009141D2">
              <w:rPr>
                <w:rFonts w:asciiTheme="minorHAnsi" w:hAnsiTheme="minorHAnsi" w:cstheme="minorHAnsi"/>
                <w:sz w:val="20"/>
                <w:szCs w:val="20"/>
              </w:rPr>
              <w:t xml:space="preserve"> IP </w:t>
            </w: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адрес и т.н.</w:t>
            </w:r>
            <w:r w:rsidR="00236C8C" w:rsidRPr="009141D2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са описани в пълни подробности и всички елементи от предлаганите процедури </w:t>
            </w:r>
            <w:r w:rsidR="00236C8C" w:rsidRPr="009141D2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са недвусмислено ясни.</w:t>
            </w:r>
          </w:p>
        </w:tc>
        <w:tc>
          <w:tcPr>
            <w:tcW w:w="2126" w:type="dxa"/>
            <w:tcBorders>
              <w:bottom w:val="single" w:sz="8" w:space="0" w:color="FFFFFF"/>
            </w:tcBorders>
            <w:shd w:val="clear" w:color="auto" w:fill="F2DBDB" w:themeFill="accent2" w:themeFillTint="33"/>
          </w:tcPr>
          <w:p w:rsidR="00236C8C" w:rsidRPr="009141D2" w:rsidRDefault="007B060B" w:rsidP="007B060B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Основни принципи и някои подробности са споменати, </w:t>
            </w:r>
            <w:r w:rsidR="00236C8C" w:rsidRPr="009141D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но не всички етапи  от процедурите по контрол на данните са описани ясно</w:t>
            </w:r>
          </w:p>
        </w:tc>
        <w:tc>
          <w:tcPr>
            <w:tcW w:w="2268" w:type="dxa"/>
            <w:tcBorders>
              <w:bottom w:val="single" w:sz="8" w:space="0" w:color="FFFFFF"/>
            </w:tcBorders>
            <w:shd w:val="clear" w:color="auto" w:fill="F2DBDB" w:themeFill="accent2" w:themeFillTint="33"/>
          </w:tcPr>
          <w:p w:rsidR="00236C8C" w:rsidRPr="009141D2" w:rsidRDefault="0019107D" w:rsidP="00F9558A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Изброени са само основни принципи от процедурите по контрол на данните</w:t>
            </w:r>
          </w:p>
        </w:tc>
        <w:tc>
          <w:tcPr>
            <w:tcW w:w="1417" w:type="dxa"/>
            <w:tcBorders>
              <w:bottom w:val="single" w:sz="8" w:space="0" w:color="FFFFFF"/>
            </w:tcBorders>
            <w:shd w:val="clear" w:color="auto" w:fill="F2DBDB" w:themeFill="accent2" w:themeFillTint="33"/>
          </w:tcPr>
          <w:p w:rsidR="00236C8C" w:rsidRPr="009141D2" w:rsidRDefault="00671319" w:rsidP="00F9558A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9141D2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Не е посочена никаква информация</w:t>
            </w:r>
          </w:p>
        </w:tc>
      </w:tr>
    </w:tbl>
    <w:p w:rsidR="001F5A5A" w:rsidRPr="009141D2" w:rsidRDefault="001F5A5A" w:rsidP="00794509">
      <w:pPr>
        <w:pStyle w:val="ListParagraph"/>
        <w:tabs>
          <w:tab w:val="left" w:pos="2268"/>
        </w:tabs>
        <w:spacing w:after="120" w:line="240" w:lineRule="auto"/>
        <w:ind w:left="0"/>
        <w:rPr>
          <w:rFonts w:asciiTheme="minorHAnsi" w:hAnsiTheme="minorHAnsi" w:cstheme="minorHAnsi"/>
          <w:sz w:val="24"/>
          <w:szCs w:val="24"/>
        </w:rPr>
      </w:pPr>
    </w:p>
    <w:p w:rsidR="00030443" w:rsidRPr="009141D2" w:rsidRDefault="0016384A" w:rsidP="00DC074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Theme="minorHAnsi" w:hAnsiTheme="minorHAnsi" w:cstheme="minorHAnsi"/>
        </w:rPr>
      </w:pPr>
      <w:r w:rsidRPr="009141D2">
        <w:rPr>
          <w:rFonts w:asciiTheme="minorHAnsi" w:hAnsiTheme="minorHAnsi" w:cstheme="minorHAnsi"/>
          <w:sz w:val="24"/>
          <w:szCs w:val="24"/>
          <w:lang w:val="bg-BG"/>
        </w:rPr>
        <w:t>Класирането на офертите се извършва в низходящ ред, като за печеливша се счита офертата с най-висока комплексна оценка.</w:t>
      </w:r>
    </w:p>
    <w:sectPr w:rsidR="00030443" w:rsidRPr="009141D2" w:rsidSect="00072C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61" w:right="1247" w:bottom="1247" w:left="136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1DC" w:rsidRDefault="00D511DC" w:rsidP="00794509">
      <w:pPr>
        <w:spacing w:after="0" w:line="240" w:lineRule="auto"/>
      </w:pPr>
      <w:r>
        <w:separator/>
      </w:r>
    </w:p>
  </w:endnote>
  <w:endnote w:type="continuationSeparator" w:id="0">
    <w:p w:rsidR="00D511DC" w:rsidRDefault="00D511DC" w:rsidP="0079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FE7" w:rsidRDefault="00620F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3AF" w:rsidRDefault="00E763AF" w:rsidP="00794509">
    <w:pPr>
      <w:pStyle w:val="Footer"/>
      <w:ind w:right="360"/>
      <w:jc w:val="center"/>
      <w:rPr>
        <w:i/>
        <w:iCs/>
        <w:lang w:val="bg-BG"/>
      </w:rPr>
    </w:pPr>
  </w:p>
  <w:tbl>
    <w:tblPr>
      <w:tblW w:w="0" w:type="auto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1"/>
      <w:gridCol w:w="8781"/>
    </w:tblGrid>
    <w:tr w:rsidR="00E763AF" w:rsidRPr="00620FE7" w:rsidTr="00B21F83">
      <w:trPr>
        <w:trHeight w:val="510"/>
        <w:jc w:val="center"/>
      </w:trPr>
      <w:tc>
        <w:tcPr>
          <w:tcW w:w="851" w:type="dxa"/>
          <w:shd w:val="clear" w:color="auto" w:fill="auto"/>
        </w:tcPr>
        <w:p w:rsidR="00E763AF" w:rsidRPr="00620FE7" w:rsidRDefault="00E763AF" w:rsidP="00B21F83">
          <w:pPr>
            <w:spacing w:after="0" w:line="240" w:lineRule="auto"/>
            <w:rPr>
              <w:rFonts w:asciiTheme="minorHAnsi" w:hAnsiTheme="minorHAnsi" w:cstheme="minorHAnsi"/>
              <w:sz w:val="18"/>
              <w:szCs w:val="20"/>
              <w:lang w:eastAsia="it-IT"/>
            </w:rPr>
          </w:pPr>
          <w:r w:rsidRPr="00620FE7">
            <w:rPr>
              <w:rFonts w:asciiTheme="minorHAnsi" w:hAnsiTheme="minorHAnsi" w:cstheme="minorHAnsi"/>
              <w:noProof/>
              <w:sz w:val="18"/>
              <w:szCs w:val="20"/>
              <w:lang w:val="bg-BG" w:eastAsia="bg-BG"/>
            </w:rPr>
            <w:drawing>
              <wp:inline distT="0" distB="0" distL="0" distR="0" wp14:anchorId="08637B0A" wp14:editId="6B73DCDC">
                <wp:extent cx="438150" cy="285750"/>
                <wp:effectExtent l="0" t="0" r="0" b="0"/>
                <wp:docPr id="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7" w:type="dxa"/>
          <w:shd w:val="clear" w:color="auto" w:fill="auto"/>
          <w:vAlign w:val="center"/>
        </w:tcPr>
        <w:p w:rsidR="00E763AF" w:rsidRPr="00620FE7" w:rsidRDefault="00215BC2" w:rsidP="00177A79">
          <w:pPr>
            <w:spacing w:after="0" w:line="240" w:lineRule="auto"/>
            <w:rPr>
              <w:rFonts w:asciiTheme="minorHAnsi" w:hAnsiTheme="minorHAnsi" w:cstheme="minorHAnsi"/>
              <w:sz w:val="20"/>
              <w:szCs w:val="23"/>
              <w:lang w:eastAsia="it-IT"/>
            </w:rPr>
          </w:pPr>
          <w:r w:rsidRPr="00620FE7">
            <w:rPr>
              <w:rFonts w:asciiTheme="minorHAnsi" w:hAnsiTheme="minorHAnsi" w:cstheme="minorHAnsi"/>
              <w:sz w:val="20"/>
              <w:szCs w:val="23"/>
              <w:lang w:val="bg-BG" w:eastAsia="it-IT"/>
            </w:rPr>
            <w:t>С финансовата подкрепа на програма Превенция и борба срещу престъпността</w:t>
          </w:r>
          <w:r w:rsidR="00E763AF" w:rsidRPr="00620FE7">
            <w:rPr>
              <w:rFonts w:asciiTheme="minorHAnsi" w:hAnsiTheme="minorHAnsi" w:cstheme="minorHAnsi"/>
              <w:sz w:val="20"/>
              <w:szCs w:val="23"/>
              <w:lang w:eastAsia="it-IT"/>
            </w:rPr>
            <w:br/>
          </w:r>
          <w:proofErr w:type="spellStart"/>
          <w:r w:rsidRPr="00620FE7">
            <w:rPr>
              <w:rFonts w:asciiTheme="minorHAnsi" w:hAnsiTheme="minorHAnsi" w:cstheme="minorHAnsi"/>
              <w:sz w:val="20"/>
              <w:szCs w:val="23"/>
              <w:lang w:eastAsia="it-IT"/>
            </w:rPr>
            <w:t>Европейската</w:t>
          </w:r>
          <w:proofErr w:type="spellEnd"/>
          <w:r w:rsidRPr="00620FE7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 </w:t>
          </w:r>
          <w:proofErr w:type="spellStart"/>
          <w:r w:rsidRPr="00620FE7">
            <w:rPr>
              <w:rFonts w:asciiTheme="minorHAnsi" w:hAnsiTheme="minorHAnsi" w:cstheme="minorHAnsi"/>
              <w:sz w:val="20"/>
              <w:szCs w:val="23"/>
              <w:lang w:eastAsia="it-IT"/>
            </w:rPr>
            <w:t>комисия</w:t>
          </w:r>
          <w:proofErr w:type="spellEnd"/>
          <w:r w:rsidRPr="00620FE7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 </w:t>
          </w:r>
          <w:r w:rsidR="00E763AF" w:rsidRPr="00620FE7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- </w:t>
          </w:r>
          <w:r w:rsidRPr="00620FE7">
            <w:rPr>
              <w:rFonts w:asciiTheme="minorHAnsi" w:hAnsiTheme="minorHAnsi" w:cstheme="minorHAnsi"/>
              <w:sz w:val="20"/>
              <w:szCs w:val="23"/>
              <w:lang w:eastAsia="it-IT"/>
            </w:rPr>
            <w:t>ГД "</w:t>
          </w:r>
          <w:proofErr w:type="spellStart"/>
          <w:r w:rsidRPr="00620FE7">
            <w:rPr>
              <w:rFonts w:asciiTheme="minorHAnsi" w:hAnsiTheme="minorHAnsi" w:cstheme="minorHAnsi"/>
              <w:sz w:val="20"/>
              <w:szCs w:val="23"/>
              <w:lang w:eastAsia="it-IT"/>
            </w:rPr>
            <w:t>Вътрешни</w:t>
          </w:r>
          <w:proofErr w:type="spellEnd"/>
          <w:r w:rsidRPr="00620FE7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 </w:t>
          </w:r>
          <w:proofErr w:type="spellStart"/>
          <w:r w:rsidRPr="00620FE7">
            <w:rPr>
              <w:rFonts w:asciiTheme="minorHAnsi" w:hAnsiTheme="minorHAnsi" w:cstheme="minorHAnsi"/>
              <w:sz w:val="20"/>
              <w:szCs w:val="23"/>
              <w:lang w:eastAsia="it-IT"/>
            </w:rPr>
            <w:t>работи</w:t>
          </w:r>
          <w:proofErr w:type="spellEnd"/>
          <w:r w:rsidRPr="00620FE7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" </w:t>
          </w:r>
        </w:p>
      </w:tc>
    </w:tr>
  </w:tbl>
  <w:p w:rsidR="00E763AF" w:rsidRPr="00C13DF2" w:rsidRDefault="00E763AF" w:rsidP="00794509">
    <w:pPr>
      <w:pStyle w:val="Footer"/>
      <w:ind w:right="360"/>
      <w:jc w:val="center"/>
      <w:rPr>
        <w:i/>
        <w:iCs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FE7" w:rsidRDefault="00620F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1DC" w:rsidRDefault="00D511DC" w:rsidP="00794509">
      <w:pPr>
        <w:spacing w:after="0" w:line="240" w:lineRule="auto"/>
      </w:pPr>
      <w:r>
        <w:separator/>
      </w:r>
    </w:p>
  </w:footnote>
  <w:footnote w:type="continuationSeparator" w:id="0">
    <w:p w:rsidR="00D511DC" w:rsidRDefault="00D511DC" w:rsidP="00794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FE7" w:rsidRDefault="00620F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3AF" w:rsidRDefault="00E763AF" w:rsidP="00794509">
    <w:pPr>
      <w:pStyle w:val="Header"/>
      <w:ind w:hanging="567"/>
    </w:pPr>
    <w:r>
      <w:rPr>
        <w:noProof/>
        <w:lang w:val="bg-BG" w:eastAsia="bg-BG"/>
      </w:rPr>
      <w:drawing>
        <wp:anchor distT="0" distB="0" distL="114300" distR="114300" simplePos="0" relativeHeight="251657728" behindDoc="0" locked="0" layoutInCell="1" allowOverlap="1" wp14:anchorId="478F00F5" wp14:editId="542484DA">
          <wp:simplePos x="0" y="0"/>
          <wp:positionH relativeFrom="column">
            <wp:posOffset>-77470</wp:posOffset>
          </wp:positionH>
          <wp:positionV relativeFrom="paragraph">
            <wp:posOffset>-228600</wp:posOffset>
          </wp:positionV>
          <wp:extent cx="6123305" cy="497205"/>
          <wp:effectExtent l="0" t="0" r="0" b="0"/>
          <wp:wrapNone/>
          <wp:docPr id="6" name="Immagine 1" descr="Loghi_SurfandSoun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hi_SurfandSoun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305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63AF" w:rsidRDefault="00E763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FE7" w:rsidRDefault="00620F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15A14"/>
    <w:multiLevelType w:val="hybridMultilevel"/>
    <w:tmpl w:val="EA7EAA22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6F501A"/>
    <w:multiLevelType w:val="multilevel"/>
    <w:tmpl w:val="D6CAC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284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116" w:hanging="72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14" w:hanging="720"/>
      </w:pPr>
      <w:rPr>
        <w:rFonts w:ascii="Calibri" w:eastAsia="Times New Roman" w:hAnsi="Calibri" w:hint="default"/>
      </w:rPr>
    </w:lvl>
    <w:lvl w:ilvl="4">
      <w:start w:val="1"/>
      <w:numFmt w:val="decimal"/>
      <w:isLgl/>
      <w:lvlText w:val="%1.%2.%3.%4.%5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84" w:hanging="1800"/>
      </w:pPr>
      <w:rPr>
        <w:rFonts w:hint="default"/>
      </w:rPr>
    </w:lvl>
  </w:abstractNum>
  <w:abstractNum w:abstractNumId="2">
    <w:nsid w:val="4B4303D7"/>
    <w:multiLevelType w:val="multilevel"/>
    <w:tmpl w:val="D6CAC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284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116" w:hanging="72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14" w:hanging="720"/>
      </w:pPr>
      <w:rPr>
        <w:rFonts w:ascii="Calibri" w:eastAsia="Times New Roman" w:hAnsi="Calibri" w:hint="default"/>
      </w:rPr>
    </w:lvl>
    <w:lvl w:ilvl="4">
      <w:start w:val="1"/>
      <w:numFmt w:val="decimal"/>
      <w:isLgl/>
      <w:lvlText w:val="%1.%2.%3.%4.%5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84" w:hanging="1800"/>
      </w:pPr>
      <w:rPr>
        <w:rFonts w:hint="default"/>
      </w:rPr>
    </w:lvl>
  </w:abstractNum>
  <w:abstractNum w:abstractNumId="3">
    <w:nsid w:val="505C1AEE"/>
    <w:multiLevelType w:val="hybridMultilevel"/>
    <w:tmpl w:val="974E3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96BEA"/>
    <w:multiLevelType w:val="multilevel"/>
    <w:tmpl w:val="D6CAC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284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116" w:hanging="72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14" w:hanging="720"/>
      </w:pPr>
      <w:rPr>
        <w:rFonts w:ascii="Calibri" w:eastAsia="Times New Roman" w:hAnsi="Calibri" w:hint="default"/>
      </w:rPr>
    </w:lvl>
    <w:lvl w:ilvl="4">
      <w:start w:val="1"/>
      <w:numFmt w:val="decimal"/>
      <w:isLgl/>
      <w:lvlText w:val="%1.%2.%3.%4.%5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84" w:hanging="1800"/>
      </w:pPr>
      <w:rPr>
        <w:rFonts w:hint="default"/>
      </w:rPr>
    </w:lvl>
  </w:abstractNum>
  <w:abstractNum w:abstractNumId="5">
    <w:nsid w:val="594C7413"/>
    <w:multiLevelType w:val="multilevel"/>
    <w:tmpl w:val="D6CAC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284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116" w:hanging="72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14" w:hanging="720"/>
      </w:pPr>
      <w:rPr>
        <w:rFonts w:ascii="Calibri" w:eastAsia="Times New Roman" w:hAnsi="Calibri" w:hint="default"/>
      </w:rPr>
    </w:lvl>
    <w:lvl w:ilvl="4">
      <w:start w:val="1"/>
      <w:numFmt w:val="decimal"/>
      <w:isLgl/>
      <w:lvlText w:val="%1.%2.%3.%4.%5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84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09"/>
    <w:rsid w:val="000023B8"/>
    <w:rsid w:val="00020E9C"/>
    <w:rsid w:val="00030443"/>
    <w:rsid w:val="00031102"/>
    <w:rsid w:val="0004028E"/>
    <w:rsid w:val="00043319"/>
    <w:rsid w:val="0005033E"/>
    <w:rsid w:val="00072CF5"/>
    <w:rsid w:val="000A5B38"/>
    <w:rsid w:val="000F62D3"/>
    <w:rsid w:val="00117BCB"/>
    <w:rsid w:val="00134779"/>
    <w:rsid w:val="00141A35"/>
    <w:rsid w:val="00160AC2"/>
    <w:rsid w:val="00161EC4"/>
    <w:rsid w:val="0016384A"/>
    <w:rsid w:val="00177A79"/>
    <w:rsid w:val="0019107D"/>
    <w:rsid w:val="00193985"/>
    <w:rsid w:val="001D70A6"/>
    <w:rsid w:val="001E10AF"/>
    <w:rsid w:val="001F246A"/>
    <w:rsid w:val="001F5A5A"/>
    <w:rsid w:val="00215BC2"/>
    <w:rsid w:val="00224D9D"/>
    <w:rsid w:val="002270BB"/>
    <w:rsid w:val="00231F2F"/>
    <w:rsid w:val="00236C8C"/>
    <w:rsid w:val="002400D0"/>
    <w:rsid w:val="0027005C"/>
    <w:rsid w:val="00282DF7"/>
    <w:rsid w:val="002F4381"/>
    <w:rsid w:val="00301001"/>
    <w:rsid w:val="003054B1"/>
    <w:rsid w:val="0032214B"/>
    <w:rsid w:val="003551BC"/>
    <w:rsid w:val="00366878"/>
    <w:rsid w:val="003719F9"/>
    <w:rsid w:val="0037394C"/>
    <w:rsid w:val="00374DF6"/>
    <w:rsid w:val="003924DB"/>
    <w:rsid w:val="003A0DCA"/>
    <w:rsid w:val="003D4E71"/>
    <w:rsid w:val="004062F3"/>
    <w:rsid w:val="00426A26"/>
    <w:rsid w:val="00426D8D"/>
    <w:rsid w:val="00446FB9"/>
    <w:rsid w:val="0045581D"/>
    <w:rsid w:val="00457970"/>
    <w:rsid w:val="00484037"/>
    <w:rsid w:val="004C18E9"/>
    <w:rsid w:val="00512B05"/>
    <w:rsid w:val="0051647F"/>
    <w:rsid w:val="00531825"/>
    <w:rsid w:val="005334CD"/>
    <w:rsid w:val="00535F20"/>
    <w:rsid w:val="00537988"/>
    <w:rsid w:val="00547896"/>
    <w:rsid w:val="005542F7"/>
    <w:rsid w:val="00561591"/>
    <w:rsid w:val="00565280"/>
    <w:rsid w:val="00586034"/>
    <w:rsid w:val="005872E7"/>
    <w:rsid w:val="005B2899"/>
    <w:rsid w:val="005E01BC"/>
    <w:rsid w:val="00607B54"/>
    <w:rsid w:val="00620FE7"/>
    <w:rsid w:val="006324FC"/>
    <w:rsid w:val="00640D55"/>
    <w:rsid w:val="00651F6C"/>
    <w:rsid w:val="00665063"/>
    <w:rsid w:val="00670377"/>
    <w:rsid w:val="00671319"/>
    <w:rsid w:val="00674009"/>
    <w:rsid w:val="0067695E"/>
    <w:rsid w:val="00682226"/>
    <w:rsid w:val="00684690"/>
    <w:rsid w:val="006A0607"/>
    <w:rsid w:val="006B6853"/>
    <w:rsid w:val="006C10D3"/>
    <w:rsid w:val="006C41BA"/>
    <w:rsid w:val="006C7DBB"/>
    <w:rsid w:val="006E1BE5"/>
    <w:rsid w:val="006E3099"/>
    <w:rsid w:val="00705D26"/>
    <w:rsid w:val="00720358"/>
    <w:rsid w:val="00721CAB"/>
    <w:rsid w:val="007406D0"/>
    <w:rsid w:val="00755A93"/>
    <w:rsid w:val="00766006"/>
    <w:rsid w:val="00773BA9"/>
    <w:rsid w:val="00784C78"/>
    <w:rsid w:val="00791A25"/>
    <w:rsid w:val="00794509"/>
    <w:rsid w:val="007B060B"/>
    <w:rsid w:val="007B1556"/>
    <w:rsid w:val="007D1943"/>
    <w:rsid w:val="007F6476"/>
    <w:rsid w:val="0083435B"/>
    <w:rsid w:val="00860237"/>
    <w:rsid w:val="008876BB"/>
    <w:rsid w:val="00895DCF"/>
    <w:rsid w:val="008A1725"/>
    <w:rsid w:val="008B4947"/>
    <w:rsid w:val="008E1EA1"/>
    <w:rsid w:val="008E7DCE"/>
    <w:rsid w:val="008F00F9"/>
    <w:rsid w:val="009141D2"/>
    <w:rsid w:val="00961E97"/>
    <w:rsid w:val="009B12BA"/>
    <w:rsid w:val="00A71C13"/>
    <w:rsid w:val="00A7533F"/>
    <w:rsid w:val="00A8598E"/>
    <w:rsid w:val="00A960F5"/>
    <w:rsid w:val="00AA0A40"/>
    <w:rsid w:val="00AB6B50"/>
    <w:rsid w:val="00AD40A4"/>
    <w:rsid w:val="00AE2324"/>
    <w:rsid w:val="00AF4146"/>
    <w:rsid w:val="00B02598"/>
    <w:rsid w:val="00B21F83"/>
    <w:rsid w:val="00B824F0"/>
    <w:rsid w:val="00BD5BEB"/>
    <w:rsid w:val="00BE67BE"/>
    <w:rsid w:val="00C04B9A"/>
    <w:rsid w:val="00C13DF2"/>
    <w:rsid w:val="00C160F9"/>
    <w:rsid w:val="00C24A1D"/>
    <w:rsid w:val="00C42868"/>
    <w:rsid w:val="00C42FAB"/>
    <w:rsid w:val="00C806F8"/>
    <w:rsid w:val="00C94796"/>
    <w:rsid w:val="00CE28BD"/>
    <w:rsid w:val="00D06594"/>
    <w:rsid w:val="00D22F78"/>
    <w:rsid w:val="00D511DC"/>
    <w:rsid w:val="00D52D7C"/>
    <w:rsid w:val="00D9594E"/>
    <w:rsid w:val="00DC0749"/>
    <w:rsid w:val="00DF37D4"/>
    <w:rsid w:val="00E1315F"/>
    <w:rsid w:val="00E1576D"/>
    <w:rsid w:val="00E17124"/>
    <w:rsid w:val="00E27D13"/>
    <w:rsid w:val="00E763AF"/>
    <w:rsid w:val="00E77233"/>
    <w:rsid w:val="00E80FC0"/>
    <w:rsid w:val="00EB1666"/>
    <w:rsid w:val="00EB481E"/>
    <w:rsid w:val="00EC4938"/>
    <w:rsid w:val="00EC65EE"/>
    <w:rsid w:val="00EE3B43"/>
    <w:rsid w:val="00F00E15"/>
    <w:rsid w:val="00F36FF7"/>
    <w:rsid w:val="00F70BC2"/>
    <w:rsid w:val="00F72F12"/>
    <w:rsid w:val="00F738EA"/>
    <w:rsid w:val="00FA706B"/>
    <w:rsid w:val="00FC3B2A"/>
    <w:rsid w:val="00FC549A"/>
    <w:rsid w:val="00FE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50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34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94509"/>
    <w:pPr>
      <w:ind w:left="720"/>
    </w:pPr>
  </w:style>
  <w:style w:type="paragraph" w:customStyle="1" w:styleId="Default">
    <w:name w:val="Default"/>
    <w:rsid w:val="00794509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794509"/>
    <w:pPr>
      <w:spacing w:after="60"/>
      <w:jc w:val="center"/>
      <w:outlineLvl w:val="1"/>
    </w:pPr>
    <w:rPr>
      <w:rFonts w:eastAsia="Times New Roman"/>
      <w:b/>
      <w:bCs/>
      <w:sz w:val="28"/>
      <w:szCs w:val="28"/>
    </w:rPr>
  </w:style>
  <w:style w:type="character" w:customStyle="1" w:styleId="SubtitleChar">
    <w:name w:val="Subtitle Char"/>
    <w:link w:val="Subtitle"/>
    <w:uiPriority w:val="99"/>
    <w:rsid w:val="00794509"/>
    <w:rPr>
      <w:rFonts w:ascii="Calibri" w:hAnsi="Calibri" w:cs="Calibri"/>
      <w:b/>
      <w:b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794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94509"/>
    <w:rPr>
      <w:rFonts w:ascii="Calibri" w:eastAsia="Times New Roman" w:hAnsi="Calibri" w:cs="Calibri"/>
      <w:lang w:val="en-GB"/>
    </w:rPr>
  </w:style>
  <w:style w:type="paragraph" w:styleId="Footer">
    <w:name w:val="footer"/>
    <w:basedOn w:val="Normal"/>
    <w:link w:val="FooterChar"/>
    <w:uiPriority w:val="99"/>
    <w:rsid w:val="00794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94509"/>
    <w:rPr>
      <w:rFonts w:ascii="Calibri" w:eastAsia="Times New Roman" w:hAnsi="Calibri" w:cs="Calibri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8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6034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1Char">
    <w:name w:val="Heading 1 Char"/>
    <w:link w:val="Heading1"/>
    <w:uiPriority w:val="9"/>
    <w:rsid w:val="005334CD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table" w:styleId="TableGrid">
    <w:name w:val="Table Grid"/>
    <w:basedOn w:val="TableNormal"/>
    <w:uiPriority w:val="59"/>
    <w:rsid w:val="005334CD"/>
    <w:rPr>
      <w:rFonts w:cs="Times New Roman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50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34C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94509"/>
    <w:pPr>
      <w:ind w:left="720"/>
    </w:pPr>
  </w:style>
  <w:style w:type="paragraph" w:customStyle="1" w:styleId="Default">
    <w:name w:val="Default"/>
    <w:rsid w:val="00794509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794509"/>
    <w:pPr>
      <w:spacing w:after="60"/>
      <w:jc w:val="center"/>
      <w:outlineLvl w:val="1"/>
    </w:pPr>
    <w:rPr>
      <w:rFonts w:eastAsia="Times New Roman"/>
      <w:b/>
      <w:bCs/>
      <w:sz w:val="28"/>
      <w:szCs w:val="28"/>
    </w:rPr>
  </w:style>
  <w:style w:type="character" w:customStyle="1" w:styleId="SubtitleChar">
    <w:name w:val="Subtitle Char"/>
    <w:link w:val="Subtitle"/>
    <w:uiPriority w:val="99"/>
    <w:rsid w:val="00794509"/>
    <w:rPr>
      <w:rFonts w:ascii="Calibri" w:hAnsi="Calibri" w:cs="Calibri"/>
      <w:b/>
      <w:b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794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94509"/>
    <w:rPr>
      <w:rFonts w:ascii="Calibri" w:eastAsia="Times New Roman" w:hAnsi="Calibri" w:cs="Calibri"/>
      <w:lang w:val="en-GB"/>
    </w:rPr>
  </w:style>
  <w:style w:type="paragraph" w:styleId="Footer">
    <w:name w:val="footer"/>
    <w:basedOn w:val="Normal"/>
    <w:link w:val="FooterChar"/>
    <w:uiPriority w:val="99"/>
    <w:rsid w:val="00794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94509"/>
    <w:rPr>
      <w:rFonts w:ascii="Calibri" w:eastAsia="Times New Roman" w:hAnsi="Calibri" w:cs="Calibri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8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6034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1Char">
    <w:name w:val="Heading 1 Char"/>
    <w:link w:val="Heading1"/>
    <w:uiPriority w:val="9"/>
    <w:rsid w:val="005334CD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table" w:styleId="TableGrid">
    <w:name w:val="Table Grid"/>
    <w:basedOn w:val="TableNormal"/>
    <w:uiPriority w:val="59"/>
    <w:rsid w:val="005334CD"/>
    <w:rPr>
      <w:rFonts w:cs="Times New Roman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537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МЕТОДИКА ЗА ОЦЕНКА НА ОФЕРТИТЕ</vt:lpstr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ЗА ОЦЕНКА НА ОФЕРТИТЕ</dc:title>
  <dc:creator>Mariana Yankova</dc:creator>
  <cp:lastModifiedBy>Slavyanka Ivanova</cp:lastModifiedBy>
  <cp:revision>14</cp:revision>
  <dcterms:created xsi:type="dcterms:W3CDTF">2017-01-12T12:51:00Z</dcterms:created>
  <dcterms:modified xsi:type="dcterms:W3CDTF">2017-01-15T18:24:00Z</dcterms:modified>
</cp:coreProperties>
</file>